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2EBE3" w14:textId="77777777" w:rsidR="005F6DB6" w:rsidRDefault="005F6DB6" w:rsidP="005F6DB6">
      <w:pPr>
        <w:pStyle w:val="Header"/>
        <w:jc w:val="center"/>
        <w:rPr>
          <w:rFonts w:ascii="Verdana" w:hAnsi="Verdana"/>
          <w:b/>
          <w:bCs/>
          <w:sz w:val="56"/>
          <w:szCs w:val="56"/>
        </w:rPr>
      </w:pPr>
      <w:r>
        <w:rPr>
          <w:rFonts w:ascii="Verdana" w:hAnsi="Verdana"/>
          <w:b/>
          <w:bCs/>
          <w:sz w:val="56"/>
          <w:szCs w:val="56"/>
        </w:rPr>
        <w:t>DARSHAN ORNA</w:t>
      </w:r>
      <w:r w:rsidRPr="002C346A">
        <w:rPr>
          <w:rFonts w:ascii="Verdana" w:hAnsi="Verdana"/>
          <w:b/>
          <w:bCs/>
          <w:sz w:val="56"/>
          <w:szCs w:val="56"/>
        </w:rPr>
        <w:t xml:space="preserve"> LIMITED</w:t>
      </w:r>
    </w:p>
    <w:p w14:paraId="6C90604B" w14:textId="77777777" w:rsidR="005F6DB6" w:rsidRDefault="005F6DB6" w:rsidP="005F6DB6">
      <w:pPr>
        <w:pStyle w:val="Header"/>
        <w:jc w:val="center"/>
        <w:rPr>
          <w:rFonts w:ascii="Verdana" w:hAnsi="Verdana"/>
          <w:b/>
          <w:bCs/>
          <w:sz w:val="20"/>
          <w:szCs w:val="20"/>
        </w:rPr>
      </w:pPr>
      <w:r w:rsidRPr="009B150B">
        <w:rPr>
          <w:rFonts w:ascii="Verdana" w:hAnsi="Verdana"/>
          <w:b/>
          <w:bCs/>
          <w:sz w:val="20"/>
          <w:szCs w:val="20"/>
        </w:rPr>
        <w:t>Survey No. 02105+2106/3/</w:t>
      </w:r>
      <w:proofErr w:type="spellStart"/>
      <w:r w:rsidRPr="009B150B">
        <w:rPr>
          <w:rFonts w:ascii="Verdana" w:hAnsi="Verdana"/>
          <w:b/>
          <w:bCs/>
          <w:sz w:val="20"/>
          <w:szCs w:val="20"/>
        </w:rPr>
        <w:t>Lawar</w:t>
      </w:r>
      <w:proofErr w:type="spellEnd"/>
      <w:r w:rsidRPr="009B150B">
        <w:rPr>
          <w:rFonts w:ascii="Verdana" w:hAnsi="Verdana"/>
          <w:b/>
          <w:bCs/>
          <w:sz w:val="20"/>
          <w:szCs w:val="20"/>
        </w:rPr>
        <w:t xml:space="preserve"> Ni </w:t>
      </w:r>
      <w:proofErr w:type="spellStart"/>
      <w:r w:rsidRPr="009B150B">
        <w:rPr>
          <w:rFonts w:ascii="Verdana" w:hAnsi="Verdana"/>
          <w:b/>
          <w:bCs/>
          <w:sz w:val="20"/>
          <w:szCs w:val="20"/>
        </w:rPr>
        <w:t>Pole</w:t>
      </w:r>
      <w:proofErr w:type="gramStart"/>
      <w:r w:rsidRPr="009B150B">
        <w:rPr>
          <w:rFonts w:ascii="Verdana" w:hAnsi="Verdana"/>
          <w:b/>
          <w:bCs/>
          <w:sz w:val="20"/>
          <w:szCs w:val="20"/>
        </w:rPr>
        <w:t>,Shekh</w:t>
      </w:r>
      <w:proofErr w:type="spellEnd"/>
      <w:proofErr w:type="gramEnd"/>
      <w:r w:rsidRPr="009B150B">
        <w:rPr>
          <w:rFonts w:ascii="Verdana" w:hAnsi="Verdana"/>
          <w:b/>
          <w:bCs/>
          <w:sz w:val="20"/>
          <w:szCs w:val="20"/>
        </w:rPr>
        <w:t xml:space="preserve"> </w:t>
      </w:r>
      <w:proofErr w:type="spellStart"/>
      <w:r w:rsidRPr="009B150B">
        <w:rPr>
          <w:rFonts w:ascii="Verdana" w:hAnsi="Verdana"/>
          <w:b/>
          <w:bCs/>
          <w:sz w:val="20"/>
          <w:szCs w:val="20"/>
        </w:rPr>
        <w:t>Sariya</w:t>
      </w:r>
      <w:proofErr w:type="spellEnd"/>
      <w:r w:rsidRPr="009B150B">
        <w:rPr>
          <w:rFonts w:ascii="Verdana" w:hAnsi="Verdana"/>
          <w:b/>
          <w:bCs/>
          <w:sz w:val="20"/>
          <w:szCs w:val="20"/>
        </w:rPr>
        <w:t xml:space="preserve"> Chambers, Madan Gopal Haveli </w:t>
      </w:r>
      <w:r>
        <w:rPr>
          <w:rFonts w:ascii="Verdana" w:hAnsi="Verdana"/>
          <w:b/>
          <w:bCs/>
          <w:sz w:val="20"/>
          <w:szCs w:val="20"/>
        </w:rPr>
        <w:t xml:space="preserve">   </w:t>
      </w:r>
      <w:r w:rsidRPr="009B150B">
        <w:rPr>
          <w:rFonts w:ascii="Verdana" w:hAnsi="Verdana"/>
          <w:b/>
          <w:bCs/>
          <w:sz w:val="20"/>
          <w:szCs w:val="20"/>
        </w:rPr>
        <w:t xml:space="preserve">Road, </w:t>
      </w:r>
      <w:proofErr w:type="spellStart"/>
      <w:r w:rsidRPr="009B150B">
        <w:rPr>
          <w:rFonts w:ascii="Verdana" w:hAnsi="Verdana"/>
          <w:b/>
          <w:bCs/>
          <w:sz w:val="20"/>
          <w:szCs w:val="20"/>
        </w:rPr>
        <w:t>Manek</w:t>
      </w:r>
      <w:proofErr w:type="spellEnd"/>
      <w:r w:rsidRPr="009B150B">
        <w:rPr>
          <w:rFonts w:ascii="Verdana" w:hAnsi="Verdana"/>
          <w:b/>
          <w:bCs/>
          <w:sz w:val="20"/>
          <w:szCs w:val="20"/>
        </w:rPr>
        <w:t xml:space="preserve"> </w:t>
      </w:r>
      <w:proofErr w:type="spellStart"/>
      <w:r w:rsidRPr="009B150B">
        <w:rPr>
          <w:rFonts w:ascii="Verdana" w:hAnsi="Verdana"/>
          <w:b/>
          <w:bCs/>
          <w:sz w:val="20"/>
          <w:szCs w:val="20"/>
        </w:rPr>
        <w:t>Chowk</w:t>
      </w:r>
      <w:proofErr w:type="spellEnd"/>
      <w:r w:rsidRPr="009B150B">
        <w:rPr>
          <w:rFonts w:ascii="Verdana" w:hAnsi="Verdana"/>
          <w:b/>
          <w:bCs/>
          <w:sz w:val="20"/>
          <w:szCs w:val="20"/>
        </w:rPr>
        <w:t xml:space="preserve"> Ahmedabad-380001</w:t>
      </w:r>
    </w:p>
    <w:p w14:paraId="79CB0EC2" w14:textId="77777777" w:rsidR="005F6DB6" w:rsidRDefault="005F6DB6" w:rsidP="005F6DB6">
      <w:pPr>
        <w:pStyle w:val="Header"/>
        <w:rPr>
          <w:rStyle w:val="Hyperlink"/>
          <w:rFonts w:ascii="Verdana" w:hAnsi="Verdana"/>
          <w:b/>
          <w:bCs/>
          <w:sz w:val="20"/>
          <w:szCs w:val="20"/>
        </w:rPr>
      </w:pPr>
      <w:r w:rsidRPr="009A4C05">
        <w:rPr>
          <w:rFonts w:ascii="Verdana" w:hAnsi="Verdana"/>
          <w:b/>
          <w:bCs/>
          <w:sz w:val="20"/>
          <w:szCs w:val="20"/>
        </w:rPr>
        <w:t xml:space="preserve">CIN: </w:t>
      </w:r>
      <w:r w:rsidRPr="009B150B">
        <w:rPr>
          <w:rFonts w:ascii="Verdana" w:hAnsi="Verdana"/>
          <w:b/>
          <w:bCs/>
          <w:sz w:val="20"/>
          <w:szCs w:val="20"/>
        </w:rPr>
        <w:t>L36910GJ2011PLC063745</w:t>
      </w:r>
      <w:r>
        <w:rPr>
          <w:rFonts w:ascii="Verdana" w:hAnsi="Verdana"/>
          <w:b/>
          <w:bCs/>
          <w:sz w:val="20"/>
          <w:szCs w:val="20"/>
        </w:rPr>
        <w:t xml:space="preserve">                           </w:t>
      </w:r>
      <w:r>
        <w:rPr>
          <w:rFonts w:ascii="Verdana" w:hAnsi="Verdana"/>
          <w:b/>
          <w:bCs/>
          <w:sz w:val="20"/>
          <w:szCs w:val="20"/>
        </w:rPr>
        <w:tab/>
      </w:r>
      <w:r w:rsidRPr="009A4C05">
        <w:rPr>
          <w:rFonts w:ascii="Verdana" w:hAnsi="Verdana"/>
          <w:b/>
          <w:bCs/>
          <w:sz w:val="20"/>
          <w:szCs w:val="20"/>
        </w:rPr>
        <w:t xml:space="preserve">E-Mail: </w:t>
      </w:r>
      <w:hyperlink r:id="rId8" w:history="1">
        <w:r w:rsidRPr="00224BC0">
          <w:rPr>
            <w:rStyle w:val="Hyperlink"/>
            <w:rFonts w:ascii="Verdana" w:hAnsi="Verdana"/>
            <w:b/>
            <w:bCs/>
            <w:sz w:val="20"/>
            <w:szCs w:val="20"/>
          </w:rPr>
          <w:t>compliancingdarshan@gmail.com</w:t>
        </w:r>
      </w:hyperlink>
    </w:p>
    <w:p w14:paraId="7E022FDE" w14:textId="77777777" w:rsidR="005F6DB6" w:rsidRPr="00586FB1" w:rsidRDefault="005F6DB6" w:rsidP="005F6DB6">
      <w:pPr>
        <w:pStyle w:val="BodyText"/>
        <w:pBdr>
          <w:bottom w:val="double" w:sz="4" w:space="1" w:color="auto"/>
        </w:pBdr>
        <w:ind w:right="170"/>
        <w:rPr>
          <w:rFonts w:asciiTheme="majorHAnsi" w:hAnsiTheme="majorHAnsi"/>
          <w:sz w:val="22"/>
          <w:szCs w:val="22"/>
        </w:rPr>
      </w:pPr>
      <w:r w:rsidRPr="009B150B">
        <w:rPr>
          <w:rFonts w:ascii="Verdana" w:hAnsi="Verdana"/>
          <w:b/>
          <w:bCs/>
          <w:sz w:val="20"/>
          <w:szCs w:val="20"/>
        </w:rPr>
        <w:t>Website</w:t>
      </w:r>
      <w:r w:rsidRPr="009A4C05">
        <w:rPr>
          <w:rFonts w:ascii="Verdana" w:hAnsi="Verdana"/>
          <w:b/>
          <w:bCs/>
          <w:sz w:val="20"/>
          <w:szCs w:val="20"/>
        </w:rPr>
        <w:t xml:space="preserve">: </w:t>
      </w:r>
      <w:hyperlink r:id="rId9" w:history="1">
        <w:r w:rsidRPr="00224BC0">
          <w:rPr>
            <w:rStyle w:val="Hyperlink"/>
            <w:rFonts w:ascii="Verdana" w:hAnsi="Verdana"/>
            <w:b/>
            <w:bCs/>
            <w:sz w:val="20"/>
            <w:szCs w:val="20"/>
          </w:rPr>
          <w:t>www.darshanorna.com</w:t>
        </w:r>
      </w:hyperlink>
      <w:r>
        <w:rPr>
          <w:rFonts w:ascii="Verdana" w:hAnsi="Verdana"/>
          <w:b/>
          <w:bCs/>
          <w:sz w:val="20"/>
          <w:szCs w:val="20"/>
        </w:rPr>
        <w:t xml:space="preserve">                         Ph.: </w:t>
      </w:r>
      <w:r w:rsidRPr="009B150B">
        <w:rPr>
          <w:rFonts w:ascii="Verdana" w:hAnsi="Verdana"/>
          <w:b/>
          <w:bCs/>
          <w:sz w:val="20"/>
          <w:szCs w:val="20"/>
        </w:rPr>
        <w:t xml:space="preserve">+91 79 22142568  </w:t>
      </w:r>
    </w:p>
    <w:p w14:paraId="68BF56FF" w14:textId="44BC347C" w:rsidR="00A62FC8" w:rsidRDefault="004139AC" w:rsidP="00E91273">
      <w:pPr>
        <w:pStyle w:val="BodyText"/>
        <w:rPr>
          <w:sz w:val="20"/>
        </w:rPr>
      </w:pPr>
      <w:r>
        <w:pict w14:anchorId="6073B919">
          <v:group id="_x0000_s1202" style="position:absolute;margin-left:1in;margin-top:22.1pt;width:471.7pt;height:31.1pt;z-index:1048;mso-wrap-distance-left:0;mso-wrap-distance-right:0;mso-position-horizontal-relative:page" coordorigin="1440,198" coordsize="9434,958">
            <v:rect id="_x0000_s1207" style="position:absolute;left:1440;top:198;width:108;height:958" fillcolor="black" stroked="f"/>
            <v:rect id="_x0000_s1206" style="position:absolute;left:10766;top:198;width:108;height:958" fillcolor="black" stroked="f"/>
            <v:rect id="_x0000_s1205" style="position:absolute;left:1548;top:198;width:9217;height:478" fillcolor="black" stroked="f"/>
            <v:rect id="_x0000_s1204" style="position:absolute;left:1548;top:675;width:9217;height:480" fillcolor="black" stroked="f"/>
            <v:shapetype id="_x0000_t202" coordsize="21600,21600" o:spt="202" path="m,l,21600r21600,l21600,xe">
              <v:stroke joinstyle="miter"/>
              <v:path gradientshapeok="t" o:connecttype="rect"/>
            </v:shapetype>
            <v:shape id="_x0000_s1203" type="#_x0000_t202" style="position:absolute;left:1440;top:198;width:9434;height:958" filled="f" stroked="f">
              <v:textbox style="mso-next-textbox:#_x0000_s1203" inset="0,0,0,0">
                <w:txbxContent>
                  <w:p w14:paraId="5012AAC2" w14:textId="77777777" w:rsidR="00945767" w:rsidRDefault="000E1894" w:rsidP="00113591">
                    <w:pPr>
                      <w:spacing w:before="38" w:line="357" w:lineRule="auto"/>
                      <w:ind w:left="108"/>
                      <w:jc w:val="center"/>
                      <w:rPr>
                        <w:b/>
                        <w:sz w:val="24"/>
                      </w:rPr>
                    </w:pPr>
                    <w:r>
                      <w:rPr>
                        <w:b/>
                        <w:color w:val="FFFFFF"/>
                        <w:sz w:val="24"/>
                      </w:rPr>
                      <w:t xml:space="preserve">POLICY </w:t>
                    </w:r>
                    <w:r w:rsidR="006D1382">
                      <w:rPr>
                        <w:b/>
                        <w:color w:val="FFFFFF"/>
                        <w:sz w:val="24"/>
                      </w:rPr>
                      <w:t>FOR</w:t>
                    </w:r>
                    <w:r>
                      <w:rPr>
                        <w:b/>
                        <w:color w:val="FFFFFF"/>
                        <w:sz w:val="24"/>
                      </w:rPr>
                      <w:t xml:space="preserve"> </w:t>
                    </w:r>
                    <w:r w:rsidR="006D1382">
                      <w:rPr>
                        <w:b/>
                        <w:color w:val="FFFFFF"/>
                        <w:sz w:val="24"/>
                      </w:rPr>
                      <w:t>DETERMINATION OF MATERIALITY OF EVENTS AND INFORMATION</w:t>
                    </w:r>
                  </w:p>
                </w:txbxContent>
              </v:textbox>
            </v:shape>
            <w10:wrap type="topAndBottom" anchorx="page"/>
          </v:group>
        </w:pict>
      </w:r>
    </w:p>
    <w:p w14:paraId="538FE8B3" w14:textId="3B228F1A" w:rsidR="000D750E" w:rsidRDefault="004139AC" w:rsidP="000D750E">
      <w:pPr>
        <w:pStyle w:val="BodyText"/>
        <w:jc w:val="both"/>
        <w:rPr>
          <w:sz w:val="20"/>
        </w:rPr>
      </w:pPr>
      <w:r>
        <w:rPr>
          <w:noProof/>
          <w:sz w:val="29"/>
          <w:lang w:val="en-IN" w:eastAsia="en-IN"/>
        </w:rPr>
        <w:pict w14:anchorId="7C2CDEFE">
          <v:group id="_x0000_s1299" style="position:absolute;left:0;text-align:left;margin-left:58.45pt;margin-top:64.5pt;width:501.1pt;height:24.7pt;z-index:251658240;mso-wrap-distance-left:0;mso-wrap-distance-right:0;mso-position-horizontal-relative:page" coordorigin="1396,382" coordsize="9765,483">
            <v:rect id="_x0000_s1300" style="position:absolute;left:1440;top:395;width:108;height:372" fillcolor="#d9d9d9" stroked="f"/>
            <v:rect id="_x0000_s1301" style="position:absolute;left:1707;top:395;width:108;height:372" fillcolor="#d9d9d9" stroked="f"/>
            <v:line id="_x0000_s1302" style="position:absolute" from="1440,811" to="1815,811" strokecolor="#d9d9d9" strokeweight="4.44pt"/>
            <v:rect id="_x0000_s1303" style="position:absolute;left:1548;top:395;width:158;height:372" fillcolor="#d9d9d9" stroked="f"/>
            <v:rect id="_x0000_s1304" style="position:absolute;left:1815;top:395;width:108;height:372" fillcolor="#d9d9d9" stroked="f"/>
            <v:rect id="_x0000_s1305" style="position:absolute;left:8442;top:395;width:108;height:372" fillcolor="#d9d9d9" stroked="f"/>
            <v:line id="_x0000_s1306" style="position:absolute" from="1815,811" to="8550,811" strokecolor="#d9d9d9" strokeweight="4.44pt"/>
            <v:rect id="_x0000_s1307" style="position:absolute;left:1923;top:395;width:6519;height:372" fillcolor="#d9d9d9" stroked="f"/>
            <v:rect id="_x0000_s1308" style="position:absolute;left:8550;top:395;width:108;height:372" fillcolor="#d9d9d9" stroked="f"/>
            <v:rect id="_x0000_s1309" style="position:absolute;left:11008;top:395;width:108;height:372" fillcolor="#d9d9d9" stroked="f"/>
            <v:line id="_x0000_s1310" style="position:absolute" from="8550,811" to="11116,811" strokecolor="#d9d9d9" strokeweight="4.44pt"/>
            <v:rect id="_x0000_s1311" style="position:absolute;left:8658;top:395;width:2350;height:372" fillcolor="#d9d9d9" stroked="f"/>
            <v:line id="_x0000_s1312" style="position:absolute" from="1440,387" to="1815,387" strokecolor="gray" strokeweight=".48pt"/>
            <v:line id="_x0000_s1313" style="position:absolute" from="1815,387" to="1824,387" strokecolor="gray" strokeweight=".48pt"/>
            <v:line id="_x0000_s1314" style="position:absolute" from="1824,387" to="8550,387" strokecolor="gray" strokeweight=".48pt"/>
            <v:line id="_x0000_s1315" style="position:absolute" from="8550,387" to="8560,387" strokecolor="gray" strokeweight=".48pt"/>
            <v:line id="_x0000_s1316" style="position:absolute" from="8560,387" to="11116,387" strokecolor="gray" strokeweight=".48pt"/>
            <v:line id="_x0000_s1317" style="position:absolute" from="1426,860" to="1815,860" strokecolor="gray" strokeweight=".48pt"/>
            <v:line id="_x0000_s1318" style="position:absolute" from="1800,860" to="1810,860" strokecolor="gray" strokeweight=".48pt"/>
            <v:line id="_x0000_s1319" style="position:absolute" from="1810,860" to="8550,860" strokecolor="gray" strokeweight=".48pt"/>
            <v:line id="_x0000_s1320" style="position:absolute" from="8536,860" to="8545,860" strokecolor="gray" strokeweight=".48pt"/>
            <v:line id="_x0000_s1321" style="position:absolute" from="8545,860" to="11116,860" strokecolor="gray" strokeweight=".48pt"/>
            <v:shape id="_x0000_s1322" type="#_x0000_t202" style="position:absolute;left:1396;top:383;width:9765;height:483" filled="f" stroked="f">
              <v:textbox style="mso-next-textbox:#_x0000_s1322" inset="0,0,0,0">
                <w:txbxContent>
                  <w:p w14:paraId="7523E38B" w14:textId="77777777" w:rsidR="00702E4F" w:rsidRDefault="00702E4F" w:rsidP="00702E4F">
                    <w:pPr>
                      <w:tabs>
                        <w:tab w:val="left" w:pos="689"/>
                      </w:tabs>
                      <w:spacing w:before="50"/>
                      <w:ind w:left="152"/>
                      <w:rPr>
                        <w:b/>
                        <w:sz w:val="24"/>
                      </w:rPr>
                    </w:pPr>
                    <w:r>
                      <w:rPr>
                        <w:b/>
                        <w:sz w:val="24"/>
                      </w:rPr>
                      <w:t>1.</w:t>
                    </w:r>
                    <w:r>
                      <w:rPr>
                        <w:b/>
                        <w:sz w:val="24"/>
                      </w:rPr>
                      <w:tab/>
                    </w:r>
                    <w:r w:rsidRPr="00702E4F">
                      <w:rPr>
                        <w:b/>
                        <w:sz w:val="24"/>
                      </w:rPr>
                      <w:t>BACKGROUND</w:t>
                    </w:r>
                    <w:r w:rsidRPr="007B552B">
                      <w:rPr>
                        <w:b/>
                        <w:sz w:val="24"/>
                      </w:rPr>
                      <w:t>:</w:t>
                    </w:r>
                  </w:p>
                </w:txbxContent>
              </v:textbox>
            </v:shape>
            <w10:wrap type="topAndBottom" anchorx="page"/>
          </v:group>
        </w:pict>
      </w:r>
    </w:p>
    <w:p w14:paraId="52DEF2EB" w14:textId="77777777" w:rsidR="000D750E" w:rsidRPr="000D750E" w:rsidRDefault="000D750E" w:rsidP="00113591">
      <w:pPr>
        <w:pStyle w:val="BodyText"/>
        <w:jc w:val="both"/>
        <w:rPr>
          <w:sz w:val="20"/>
        </w:rPr>
      </w:pPr>
    </w:p>
    <w:p w14:paraId="40CC2AB1" w14:textId="77777777" w:rsidR="00945767" w:rsidRPr="005A6988" w:rsidRDefault="00702E4F" w:rsidP="00113591">
      <w:pPr>
        <w:pStyle w:val="BodyText"/>
        <w:ind w:left="240" w:right="476"/>
        <w:jc w:val="both"/>
        <w:rPr>
          <w:rFonts w:ascii="Cambria" w:hAnsi="Cambria"/>
          <w:sz w:val="22"/>
          <w:szCs w:val="22"/>
        </w:rPr>
      </w:pPr>
      <w:r w:rsidRPr="005A6988">
        <w:rPr>
          <w:rFonts w:ascii="Cambria" w:hAnsi="Cambria"/>
          <w:sz w:val="22"/>
          <w:szCs w:val="22"/>
        </w:rPr>
        <w:t xml:space="preserve">As per Regulation 30 of the SEBI (Listing Obligations and Disclosure Requirements) Regulations, 2015 (hereinafter referred to as “Listing Regulations”), a listed entity is required to frame a policy </w:t>
      </w:r>
      <w:bookmarkStart w:id="0" w:name="_GoBack"/>
      <w:bookmarkEnd w:id="0"/>
      <w:r w:rsidRPr="005A6988">
        <w:rPr>
          <w:rFonts w:ascii="Cambria" w:hAnsi="Cambria"/>
          <w:sz w:val="22"/>
          <w:szCs w:val="22"/>
        </w:rPr>
        <w:t>for determination of materiality for disclosure of events or information to Stock Exchanges, based on the criteria specified in Regulation 30 of the said Regulations and the same is also required to be disclosed on the Company's website.</w:t>
      </w:r>
    </w:p>
    <w:p w14:paraId="738EAFA0" w14:textId="77777777" w:rsidR="00945767" w:rsidRPr="005A6988" w:rsidRDefault="004139AC" w:rsidP="00113591">
      <w:pPr>
        <w:pStyle w:val="BodyText"/>
        <w:jc w:val="both"/>
        <w:rPr>
          <w:rFonts w:ascii="Cambria" w:hAnsi="Cambria"/>
          <w:sz w:val="22"/>
          <w:szCs w:val="22"/>
        </w:rPr>
      </w:pPr>
      <w:r>
        <w:rPr>
          <w:rFonts w:ascii="Cambria" w:hAnsi="Cambria"/>
          <w:noProof/>
          <w:sz w:val="22"/>
          <w:szCs w:val="22"/>
          <w:lang w:val="en-IN" w:eastAsia="en-IN"/>
        </w:rPr>
        <w:pict w14:anchorId="5290D39D">
          <v:group id="_x0000_s1323" style="position:absolute;left:0;text-align:left;margin-left:70.55pt;margin-top:22.7pt;width:488.25pt;height:24.15pt;z-index:251659264;mso-wrap-distance-left:0;mso-wrap-distance-right:0;mso-position-horizontal-relative:page" coordorigin="1396,382" coordsize="9765,483">
            <v:rect id="_x0000_s1324" style="position:absolute;left:1440;top:395;width:108;height:372" fillcolor="#d9d9d9" stroked="f"/>
            <v:rect id="_x0000_s1325" style="position:absolute;left:1707;top:395;width:108;height:372" fillcolor="#d9d9d9" stroked="f"/>
            <v:line id="_x0000_s1326" style="position:absolute" from="1440,811" to="1815,811" strokecolor="#d9d9d9" strokeweight="4.44pt"/>
            <v:rect id="_x0000_s1327" style="position:absolute;left:1548;top:395;width:158;height:372" fillcolor="#d9d9d9" stroked="f"/>
            <v:rect id="_x0000_s1328" style="position:absolute;left:1815;top:395;width:108;height:372" fillcolor="#d9d9d9" stroked="f"/>
            <v:rect id="_x0000_s1329" style="position:absolute;left:8442;top:395;width:108;height:372" fillcolor="#d9d9d9" stroked="f"/>
            <v:line id="_x0000_s1330" style="position:absolute" from="1815,811" to="8550,811" strokecolor="#d9d9d9" strokeweight="4.44pt"/>
            <v:rect id="_x0000_s1331" style="position:absolute;left:1923;top:395;width:6519;height:372" fillcolor="#d9d9d9" stroked="f"/>
            <v:rect id="_x0000_s1332" style="position:absolute;left:8550;top:395;width:108;height:372" fillcolor="#d9d9d9" stroked="f"/>
            <v:rect id="_x0000_s1333" style="position:absolute;left:11008;top:395;width:108;height:372" fillcolor="#d9d9d9" stroked="f"/>
            <v:line id="_x0000_s1334" style="position:absolute" from="8550,811" to="11116,811" strokecolor="#d9d9d9" strokeweight="4.44pt"/>
            <v:rect id="_x0000_s1335" style="position:absolute;left:8658;top:395;width:2350;height:372" fillcolor="#d9d9d9" stroked="f"/>
            <v:line id="_x0000_s1336" style="position:absolute" from="1440,387" to="1815,387" strokecolor="gray" strokeweight=".48pt"/>
            <v:line id="_x0000_s1337" style="position:absolute" from="1815,387" to="1824,387" strokecolor="gray" strokeweight=".48pt"/>
            <v:line id="_x0000_s1338" style="position:absolute" from="1824,387" to="8550,387" strokecolor="gray" strokeweight=".48pt"/>
            <v:line id="_x0000_s1339" style="position:absolute" from="8550,387" to="8560,387" strokecolor="gray" strokeweight=".48pt"/>
            <v:line id="_x0000_s1340" style="position:absolute" from="8560,387" to="11116,387" strokecolor="gray" strokeweight=".48pt"/>
            <v:line id="_x0000_s1341" style="position:absolute" from="1426,860" to="1815,860" strokecolor="gray" strokeweight=".48pt"/>
            <v:line id="_x0000_s1342" style="position:absolute" from="1800,860" to="1810,860" strokecolor="gray" strokeweight=".48pt"/>
            <v:line id="_x0000_s1343" style="position:absolute" from="1810,860" to="8550,860" strokecolor="gray" strokeweight=".48pt"/>
            <v:line id="_x0000_s1344" style="position:absolute" from="8536,860" to="8545,860" strokecolor="gray" strokeweight=".48pt"/>
            <v:line id="_x0000_s1345" style="position:absolute" from="8545,860" to="11116,860" strokecolor="gray" strokeweight=".48pt"/>
            <v:shape id="_x0000_s1346" type="#_x0000_t202" style="position:absolute;left:1396;top:383;width:9765;height:483" filled="f" stroked="f">
              <v:textbox style="mso-next-textbox:#_x0000_s1346" inset="0,0,0,0">
                <w:txbxContent>
                  <w:p w14:paraId="2E5CECE9" w14:textId="77777777" w:rsidR="004C4234" w:rsidRDefault="004C4234" w:rsidP="004C4234">
                    <w:pPr>
                      <w:tabs>
                        <w:tab w:val="left" w:pos="689"/>
                      </w:tabs>
                      <w:spacing w:before="50"/>
                      <w:ind w:left="152"/>
                      <w:rPr>
                        <w:b/>
                        <w:sz w:val="24"/>
                      </w:rPr>
                    </w:pPr>
                    <w:r>
                      <w:rPr>
                        <w:b/>
                        <w:sz w:val="24"/>
                      </w:rPr>
                      <w:t>2.</w:t>
                    </w:r>
                    <w:r>
                      <w:rPr>
                        <w:b/>
                        <w:sz w:val="24"/>
                      </w:rPr>
                      <w:tab/>
                    </w:r>
                    <w:r w:rsidRPr="004C4234">
                      <w:rPr>
                        <w:b/>
                        <w:sz w:val="24"/>
                      </w:rPr>
                      <w:t>SCOPE</w:t>
                    </w:r>
                    <w:r w:rsidRPr="007B552B">
                      <w:rPr>
                        <w:b/>
                        <w:sz w:val="24"/>
                      </w:rPr>
                      <w:t>:</w:t>
                    </w:r>
                  </w:p>
                </w:txbxContent>
              </v:textbox>
            </v:shape>
            <w10:wrap type="topAndBottom" anchorx="page"/>
          </v:group>
        </w:pict>
      </w:r>
    </w:p>
    <w:p w14:paraId="2BFCAA8B" w14:textId="77777777" w:rsidR="00945767" w:rsidRPr="005A6988" w:rsidRDefault="00945767" w:rsidP="00113591">
      <w:pPr>
        <w:jc w:val="both"/>
        <w:rPr>
          <w:rFonts w:ascii="Cambria" w:hAnsi="Cambria"/>
        </w:rPr>
      </w:pPr>
    </w:p>
    <w:p w14:paraId="17276C4B" w14:textId="0A16C2CF" w:rsidR="001953CB" w:rsidRPr="005A6988" w:rsidRDefault="001953CB" w:rsidP="001953CB">
      <w:pPr>
        <w:pStyle w:val="BodyText"/>
        <w:ind w:left="240" w:right="476"/>
        <w:jc w:val="both"/>
        <w:rPr>
          <w:rFonts w:ascii="Cambria" w:hAnsi="Cambria"/>
          <w:sz w:val="22"/>
          <w:szCs w:val="22"/>
        </w:rPr>
      </w:pPr>
      <w:r w:rsidRPr="005A6988">
        <w:rPr>
          <w:rFonts w:ascii="Cambria" w:hAnsi="Cambria"/>
          <w:sz w:val="22"/>
          <w:szCs w:val="22"/>
        </w:rPr>
        <w:t xml:space="preserve">The Policy has been prepared in accordance with the applicable provisions of Listing Regulations and Companies Act 2013 and rules made thereunder. Any subsequent amendment/ modification in the applicable statutes in this regard shall automatically apply to this Policy. </w:t>
      </w:r>
    </w:p>
    <w:p w14:paraId="5E722BE5" w14:textId="77777777" w:rsidR="001953CB" w:rsidRPr="005A6988" w:rsidRDefault="001953CB" w:rsidP="001953CB">
      <w:pPr>
        <w:pStyle w:val="BodyText"/>
        <w:ind w:left="240" w:right="476"/>
        <w:jc w:val="both"/>
        <w:rPr>
          <w:rFonts w:ascii="Cambria" w:hAnsi="Cambria"/>
          <w:sz w:val="22"/>
          <w:szCs w:val="22"/>
        </w:rPr>
      </w:pPr>
    </w:p>
    <w:p w14:paraId="5D0AE84D" w14:textId="77777777" w:rsidR="001953CB" w:rsidRPr="005A6988" w:rsidRDefault="001953CB" w:rsidP="001953CB">
      <w:pPr>
        <w:pStyle w:val="BodyText"/>
        <w:ind w:left="240" w:right="476"/>
        <w:jc w:val="both"/>
        <w:rPr>
          <w:rFonts w:ascii="Cambria" w:hAnsi="Cambria"/>
          <w:sz w:val="22"/>
          <w:szCs w:val="22"/>
        </w:rPr>
      </w:pPr>
      <w:r w:rsidRPr="005A6988">
        <w:rPr>
          <w:rFonts w:ascii="Cambria" w:hAnsi="Cambria"/>
          <w:sz w:val="22"/>
          <w:szCs w:val="22"/>
        </w:rPr>
        <w:t>This Policy describes, inter alia, the illustrative list of events or information which are considered to be material as per the Regulations and/ or in the opinion of Board. The Board vide this Policy has attempted to prescribe guidance for deciding the magnitude of the materiality of events and information.</w:t>
      </w:r>
    </w:p>
    <w:p w14:paraId="067EB256" w14:textId="77777777" w:rsidR="001953CB" w:rsidRPr="005A6988" w:rsidRDefault="001953CB" w:rsidP="001953CB">
      <w:pPr>
        <w:pStyle w:val="BodyText"/>
        <w:ind w:left="240" w:right="476"/>
        <w:jc w:val="both"/>
        <w:rPr>
          <w:rFonts w:ascii="Cambria" w:hAnsi="Cambria"/>
          <w:sz w:val="22"/>
          <w:szCs w:val="22"/>
        </w:rPr>
      </w:pPr>
    </w:p>
    <w:p w14:paraId="458C30FC" w14:textId="77777777" w:rsidR="001953CB" w:rsidRPr="005A6988" w:rsidRDefault="001953CB" w:rsidP="001953CB">
      <w:pPr>
        <w:pStyle w:val="BodyText"/>
        <w:ind w:left="240" w:right="476"/>
        <w:jc w:val="both"/>
        <w:rPr>
          <w:rFonts w:ascii="Cambria" w:hAnsi="Cambria"/>
          <w:sz w:val="22"/>
          <w:szCs w:val="22"/>
        </w:rPr>
      </w:pPr>
      <w:r w:rsidRPr="005A6988">
        <w:rPr>
          <w:rFonts w:ascii="Cambria" w:hAnsi="Cambria"/>
          <w:sz w:val="22"/>
          <w:szCs w:val="22"/>
        </w:rPr>
        <w:t>This policy shall be put on the website of the company.</w:t>
      </w:r>
    </w:p>
    <w:p w14:paraId="459B782F" w14:textId="77777777" w:rsidR="00945767" w:rsidRPr="005A6988" w:rsidRDefault="004139AC" w:rsidP="00113591">
      <w:pPr>
        <w:pStyle w:val="BodyText"/>
        <w:jc w:val="both"/>
        <w:rPr>
          <w:rFonts w:ascii="Cambria" w:hAnsi="Cambria"/>
          <w:sz w:val="22"/>
          <w:szCs w:val="22"/>
        </w:rPr>
      </w:pPr>
      <w:r>
        <w:rPr>
          <w:rFonts w:ascii="Cambria" w:hAnsi="Cambria"/>
          <w:noProof/>
          <w:sz w:val="22"/>
          <w:szCs w:val="22"/>
          <w:lang w:val="en-IN" w:eastAsia="en-IN"/>
        </w:rPr>
        <w:pict w14:anchorId="19131E95">
          <v:group id="_x0000_s1347" style="position:absolute;left:0;text-align:left;margin-left:72.75pt;margin-top:14.75pt;width:488.25pt;height:24.15pt;z-index:251660288;mso-wrap-distance-left:0;mso-wrap-distance-right:0;mso-position-horizontal-relative:page" coordorigin="1396,382" coordsize="9765,483">
            <v:rect id="_x0000_s1348" style="position:absolute;left:1440;top:395;width:108;height:372" fillcolor="#d9d9d9" stroked="f"/>
            <v:rect id="_x0000_s1349" style="position:absolute;left:1707;top:395;width:108;height:372" fillcolor="#d9d9d9" stroked="f"/>
            <v:line id="_x0000_s1350" style="position:absolute" from="1440,811" to="1815,811" strokecolor="#d9d9d9" strokeweight="4.44pt"/>
            <v:rect id="_x0000_s1351" style="position:absolute;left:1548;top:395;width:158;height:372" fillcolor="#d9d9d9" stroked="f"/>
            <v:rect id="_x0000_s1352" style="position:absolute;left:1815;top:395;width:108;height:372" fillcolor="#d9d9d9" stroked="f"/>
            <v:rect id="_x0000_s1353" style="position:absolute;left:8442;top:395;width:108;height:372" fillcolor="#d9d9d9" stroked="f"/>
            <v:line id="_x0000_s1354" style="position:absolute" from="1815,811" to="8550,811" strokecolor="#d9d9d9" strokeweight="4.44pt"/>
            <v:rect id="_x0000_s1355" style="position:absolute;left:1923;top:395;width:6519;height:372" fillcolor="#d9d9d9" stroked="f"/>
            <v:rect id="_x0000_s1356" style="position:absolute;left:8550;top:395;width:108;height:372" fillcolor="#d9d9d9" stroked="f"/>
            <v:rect id="_x0000_s1357" style="position:absolute;left:11008;top:395;width:108;height:372" fillcolor="#d9d9d9" stroked="f"/>
            <v:line id="_x0000_s1358" style="position:absolute" from="8550,811" to="11116,811" strokecolor="#d9d9d9" strokeweight="4.44pt"/>
            <v:rect id="_x0000_s1359" style="position:absolute;left:8658;top:395;width:2350;height:372" fillcolor="#d9d9d9" stroked="f"/>
            <v:line id="_x0000_s1360" style="position:absolute" from="1440,387" to="1815,387" strokecolor="gray" strokeweight=".48pt"/>
            <v:line id="_x0000_s1361" style="position:absolute" from="1815,387" to="1824,387" strokecolor="gray" strokeweight=".48pt"/>
            <v:line id="_x0000_s1362" style="position:absolute" from="1824,387" to="8550,387" strokecolor="gray" strokeweight=".48pt"/>
            <v:line id="_x0000_s1363" style="position:absolute" from="8550,387" to="8560,387" strokecolor="gray" strokeweight=".48pt"/>
            <v:line id="_x0000_s1364" style="position:absolute" from="8560,387" to="11116,387" strokecolor="gray" strokeweight=".48pt"/>
            <v:line id="_x0000_s1365" style="position:absolute" from="1426,860" to="1815,860" strokecolor="gray" strokeweight=".48pt"/>
            <v:line id="_x0000_s1366" style="position:absolute" from="1800,860" to="1810,860" strokecolor="gray" strokeweight=".48pt"/>
            <v:line id="_x0000_s1367" style="position:absolute" from="1810,860" to="8550,860" strokecolor="gray" strokeweight=".48pt"/>
            <v:line id="_x0000_s1368" style="position:absolute" from="8536,860" to="8545,860" strokecolor="gray" strokeweight=".48pt"/>
            <v:line id="_x0000_s1369" style="position:absolute" from="8545,860" to="11116,860" strokecolor="gray" strokeweight=".48pt"/>
            <v:shape id="_x0000_s1370" type="#_x0000_t202" style="position:absolute;left:1396;top:383;width:9765;height:483" filled="f" stroked="f">
              <v:textbox style="mso-next-textbox:#_x0000_s1370" inset="0,0,0,0">
                <w:txbxContent>
                  <w:p w14:paraId="24D78858" w14:textId="77777777" w:rsidR="001B36A2" w:rsidRDefault="001B36A2" w:rsidP="001B36A2">
                    <w:pPr>
                      <w:tabs>
                        <w:tab w:val="left" w:pos="689"/>
                      </w:tabs>
                      <w:spacing w:before="50"/>
                      <w:ind w:left="152"/>
                      <w:rPr>
                        <w:b/>
                        <w:sz w:val="24"/>
                      </w:rPr>
                    </w:pPr>
                    <w:r>
                      <w:rPr>
                        <w:b/>
                        <w:sz w:val="24"/>
                      </w:rPr>
                      <w:t>3.</w:t>
                    </w:r>
                    <w:r>
                      <w:rPr>
                        <w:b/>
                        <w:sz w:val="24"/>
                      </w:rPr>
                      <w:tab/>
                    </w:r>
                    <w:r w:rsidRPr="001B36A2">
                      <w:rPr>
                        <w:b/>
                        <w:sz w:val="24"/>
                      </w:rPr>
                      <w:t>DEFINITIONS &amp; INTERPRETATIONS</w:t>
                    </w:r>
                    <w:r w:rsidRPr="007B552B">
                      <w:rPr>
                        <w:b/>
                        <w:sz w:val="24"/>
                      </w:rPr>
                      <w:t>:</w:t>
                    </w:r>
                  </w:p>
                </w:txbxContent>
              </v:textbox>
            </v:shape>
            <w10:wrap type="topAndBottom" anchorx="page"/>
          </v:group>
        </w:pict>
      </w:r>
    </w:p>
    <w:p w14:paraId="785E6C6D" w14:textId="77777777" w:rsidR="00945767" w:rsidRPr="005A6988" w:rsidRDefault="00945767" w:rsidP="00113591">
      <w:pPr>
        <w:pStyle w:val="BodyText"/>
        <w:ind w:left="221"/>
        <w:jc w:val="both"/>
        <w:rPr>
          <w:rFonts w:ascii="Cambria" w:hAnsi="Cambria"/>
          <w:sz w:val="22"/>
          <w:szCs w:val="22"/>
        </w:rPr>
      </w:pPr>
    </w:p>
    <w:p w14:paraId="59728B21" w14:textId="77777777" w:rsidR="00113591" w:rsidRPr="005A6988" w:rsidRDefault="00113591" w:rsidP="00113591">
      <w:pPr>
        <w:pStyle w:val="ListParagraph"/>
        <w:tabs>
          <w:tab w:val="left" w:pos="961"/>
        </w:tabs>
        <w:ind w:right="480" w:firstLine="0"/>
        <w:rPr>
          <w:rFonts w:ascii="Cambria" w:hAnsi="Cambria"/>
        </w:rPr>
      </w:pPr>
    </w:p>
    <w:p w14:paraId="1A5062CF" w14:textId="77777777" w:rsidR="001B36A2" w:rsidRPr="005A6988" w:rsidRDefault="001B36A2" w:rsidP="001B36A2">
      <w:pPr>
        <w:pStyle w:val="BodyText"/>
        <w:ind w:left="240" w:right="476"/>
        <w:jc w:val="both"/>
        <w:rPr>
          <w:rFonts w:ascii="Cambria" w:hAnsi="Cambria"/>
          <w:sz w:val="22"/>
          <w:szCs w:val="22"/>
        </w:rPr>
      </w:pPr>
      <w:r w:rsidRPr="005A6988">
        <w:rPr>
          <w:rFonts w:ascii="Cambria" w:hAnsi="Cambria"/>
          <w:sz w:val="22"/>
          <w:szCs w:val="22"/>
        </w:rPr>
        <w:t xml:space="preserve">In this Policy, unless the context otherwise requires: </w:t>
      </w:r>
    </w:p>
    <w:p w14:paraId="18EB4F4E" w14:textId="77777777" w:rsidR="001B36A2" w:rsidRPr="005A6988" w:rsidRDefault="001B36A2" w:rsidP="001B36A2">
      <w:pPr>
        <w:pStyle w:val="BodyText"/>
        <w:ind w:left="240" w:right="476"/>
        <w:jc w:val="both"/>
        <w:rPr>
          <w:rFonts w:ascii="Cambria" w:hAnsi="Cambria"/>
          <w:sz w:val="22"/>
          <w:szCs w:val="22"/>
        </w:rPr>
      </w:pPr>
    </w:p>
    <w:p w14:paraId="164E2E58" w14:textId="77777777" w:rsidR="001B36A2" w:rsidRPr="005A6988" w:rsidRDefault="001B36A2" w:rsidP="001B36A2">
      <w:pPr>
        <w:pStyle w:val="BodyText"/>
        <w:ind w:left="240" w:right="476"/>
        <w:jc w:val="both"/>
        <w:rPr>
          <w:rFonts w:ascii="Cambria" w:hAnsi="Cambria"/>
          <w:sz w:val="22"/>
          <w:szCs w:val="22"/>
        </w:rPr>
      </w:pPr>
      <w:r w:rsidRPr="005A6988">
        <w:rPr>
          <w:rFonts w:ascii="Cambria" w:hAnsi="Cambria"/>
          <w:sz w:val="22"/>
          <w:szCs w:val="22"/>
        </w:rPr>
        <w:t>(a)</w:t>
      </w:r>
      <w:r w:rsidR="00D15AAD" w:rsidRPr="005A6988">
        <w:rPr>
          <w:rFonts w:ascii="Cambria" w:hAnsi="Cambria"/>
          <w:sz w:val="22"/>
          <w:szCs w:val="22"/>
        </w:rPr>
        <w:t xml:space="preserve"> </w:t>
      </w:r>
      <w:r w:rsidRPr="005A6988">
        <w:rPr>
          <w:rFonts w:ascii="Cambria" w:hAnsi="Cambria"/>
          <w:sz w:val="22"/>
          <w:szCs w:val="22"/>
        </w:rPr>
        <w:t>“Act” means the Companies Act, 2013 and the Rules framed thereunder, including any modifications, amendments, clarifications, circulars or re-enactment thereof.</w:t>
      </w:r>
    </w:p>
    <w:p w14:paraId="505492A0" w14:textId="77777777" w:rsidR="001B36A2" w:rsidRPr="005A6988" w:rsidRDefault="001B36A2" w:rsidP="001B36A2">
      <w:pPr>
        <w:pStyle w:val="BodyText"/>
        <w:ind w:left="240" w:right="476"/>
        <w:jc w:val="both"/>
        <w:rPr>
          <w:rFonts w:ascii="Cambria" w:hAnsi="Cambria"/>
          <w:sz w:val="22"/>
          <w:szCs w:val="22"/>
        </w:rPr>
      </w:pPr>
    </w:p>
    <w:p w14:paraId="5789E7DA" w14:textId="1FCB646D" w:rsidR="0021364B" w:rsidRPr="005A6988" w:rsidRDefault="001B36A2" w:rsidP="001B36A2">
      <w:pPr>
        <w:pStyle w:val="BodyText"/>
        <w:ind w:left="240" w:right="476"/>
        <w:jc w:val="both"/>
        <w:rPr>
          <w:rFonts w:ascii="Cambria" w:hAnsi="Cambria"/>
          <w:sz w:val="22"/>
          <w:szCs w:val="22"/>
        </w:rPr>
      </w:pPr>
      <w:r w:rsidRPr="005A6988">
        <w:rPr>
          <w:rFonts w:ascii="Cambria" w:hAnsi="Cambria"/>
          <w:sz w:val="22"/>
          <w:szCs w:val="22"/>
        </w:rPr>
        <w:t>(b)</w:t>
      </w:r>
      <w:r w:rsidR="00D15AAD" w:rsidRPr="005A6988">
        <w:rPr>
          <w:rFonts w:ascii="Cambria" w:hAnsi="Cambria"/>
          <w:sz w:val="22"/>
          <w:szCs w:val="22"/>
        </w:rPr>
        <w:t xml:space="preserve"> </w:t>
      </w:r>
      <w:r w:rsidRPr="005A6988">
        <w:rPr>
          <w:rFonts w:ascii="Cambria" w:hAnsi="Cambria"/>
          <w:sz w:val="22"/>
          <w:szCs w:val="22"/>
        </w:rPr>
        <w:t xml:space="preserve">“Board” shall mean the Board of Directors of </w:t>
      </w:r>
      <w:proofErr w:type="spellStart"/>
      <w:r w:rsidR="005F6DB6">
        <w:rPr>
          <w:rFonts w:ascii="Cambria" w:hAnsi="Cambria"/>
          <w:sz w:val="22"/>
          <w:szCs w:val="22"/>
        </w:rPr>
        <w:t>Darshan</w:t>
      </w:r>
      <w:proofErr w:type="spellEnd"/>
      <w:r w:rsidR="005F6DB6">
        <w:rPr>
          <w:rFonts w:ascii="Cambria" w:hAnsi="Cambria"/>
          <w:sz w:val="22"/>
          <w:szCs w:val="22"/>
        </w:rPr>
        <w:t xml:space="preserve"> </w:t>
      </w:r>
      <w:proofErr w:type="spellStart"/>
      <w:r w:rsidR="005F6DB6">
        <w:rPr>
          <w:rFonts w:ascii="Cambria" w:hAnsi="Cambria"/>
          <w:sz w:val="22"/>
          <w:szCs w:val="22"/>
        </w:rPr>
        <w:t>Orna</w:t>
      </w:r>
      <w:proofErr w:type="spellEnd"/>
      <w:r w:rsidRPr="005A6988">
        <w:rPr>
          <w:rFonts w:ascii="Cambria" w:hAnsi="Cambria"/>
          <w:sz w:val="22"/>
          <w:szCs w:val="22"/>
        </w:rPr>
        <w:t xml:space="preserve"> Limited and shall include any Committee ther</w:t>
      </w:r>
      <w:r w:rsidR="0021364B" w:rsidRPr="005A6988">
        <w:rPr>
          <w:rFonts w:ascii="Cambria" w:hAnsi="Cambria"/>
          <w:sz w:val="22"/>
          <w:szCs w:val="22"/>
        </w:rPr>
        <w:t xml:space="preserve">eof </w:t>
      </w:r>
      <w:proofErr w:type="spellStart"/>
      <w:r w:rsidR="0021364B" w:rsidRPr="005A6988">
        <w:rPr>
          <w:rFonts w:ascii="Cambria" w:hAnsi="Cambria"/>
          <w:sz w:val="22"/>
          <w:szCs w:val="22"/>
        </w:rPr>
        <w:t>authorised</w:t>
      </w:r>
      <w:proofErr w:type="spellEnd"/>
      <w:r w:rsidR="0021364B" w:rsidRPr="005A6988">
        <w:rPr>
          <w:rFonts w:ascii="Cambria" w:hAnsi="Cambria"/>
          <w:sz w:val="22"/>
          <w:szCs w:val="22"/>
        </w:rPr>
        <w:t xml:space="preserve"> for the purpose.</w:t>
      </w:r>
    </w:p>
    <w:p w14:paraId="60908D54" w14:textId="77777777" w:rsidR="0021364B" w:rsidRPr="005A6988" w:rsidRDefault="0021364B" w:rsidP="001B36A2">
      <w:pPr>
        <w:pStyle w:val="BodyText"/>
        <w:ind w:left="240" w:right="476"/>
        <w:jc w:val="both"/>
        <w:rPr>
          <w:rFonts w:ascii="Cambria" w:hAnsi="Cambria"/>
          <w:sz w:val="22"/>
          <w:szCs w:val="22"/>
        </w:rPr>
      </w:pPr>
    </w:p>
    <w:p w14:paraId="248AC861" w14:textId="2C737243" w:rsidR="0021364B" w:rsidRPr="005A6988" w:rsidRDefault="00D15AAD" w:rsidP="001B36A2">
      <w:pPr>
        <w:pStyle w:val="BodyText"/>
        <w:ind w:left="240" w:right="476"/>
        <w:jc w:val="both"/>
        <w:rPr>
          <w:rFonts w:ascii="Cambria" w:hAnsi="Cambria"/>
          <w:sz w:val="22"/>
          <w:szCs w:val="22"/>
        </w:rPr>
      </w:pPr>
      <w:r w:rsidRPr="005A6988">
        <w:rPr>
          <w:rFonts w:ascii="Cambria" w:hAnsi="Cambria"/>
          <w:sz w:val="22"/>
          <w:szCs w:val="22"/>
        </w:rPr>
        <w:t xml:space="preserve">(c) </w:t>
      </w:r>
      <w:r w:rsidR="001B36A2" w:rsidRPr="005A6988">
        <w:rPr>
          <w:rFonts w:ascii="Cambria" w:hAnsi="Cambria"/>
          <w:sz w:val="22"/>
          <w:szCs w:val="22"/>
        </w:rPr>
        <w:t xml:space="preserve">“Company” shall mean </w:t>
      </w:r>
      <w:proofErr w:type="spellStart"/>
      <w:r w:rsidR="005F6DB6">
        <w:rPr>
          <w:rFonts w:ascii="Cambria" w:hAnsi="Cambria"/>
          <w:sz w:val="22"/>
          <w:szCs w:val="22"/>
        </w:rPr>
        <w:t>Darshan</w:t>
      </w:r>
      <w:proofErr w:type="spellEnd"/>
      <w:r w:rsidR="005F6DB6">
        <w:rPr>
          <w:rFonts w:ascii="Cambria" w:hAnsi="Cambria"/>
          <w:sz w:val="22"/>
          <w:szCs w:val="22"/>
        </w:rPr>
        <w:t xml:space="preserve"> </w:t>
      </w:r>
      <w:proofErr w:type="spellStart"/>
      <w:r w:rsidR="005F6DB6">
        <w:rPr>
          <w:rFonts w:ascii="Cambria" w:hAnsi="Cambria"/>
          <w:sz w:val="22"/>
          <w:szCs w:val="22"/>
        </w:rPr>
        <w:t>Orna</w:t>
      </w:r>
      <w:proofErr w:type="spellEnd"/>
      <w:r w:rsidR="005F6DB6" w:rsidRPr="005A6988">
        <w:rPr>
          <w:rFonts w:ascii="Cambria" w:hAnsi="Cambria"/>
          <w:sz w:val="22"/>
          <w:szCs w:val="22"/>
        </w:rPr>
        <w:t xml:space="preserve"> </w:t>
      </w:r>
      <w:r w:rsidR="0021364B" w:rsidRPr="005A6988">
        <w:rPr>
          <w:rFonts w:ascii="Cambria" w:hAnsi="Cambria"/>
          <w:sz w:val="22"/>
          <w:szCs w:val="22"/>
        </w:rPr>
        <w:t>Limited</w:t>
      </w:r>
      <w:r w:rsidR="001B36A2" w:rsidRPr="005A6988">
        <w:rPr>
          <w:rFonts w:ascii="Cambria" w:hAnsi="Cambria"/>
          <w:sz w:val="22"/>
          <w:szCs w:val="22"/>
        </w:rPr>
        <w:t>.</w:t>
      </w:r>
    </w:p>
    <w:p w14:paraId="7B35E430" w14:textId="77777777" w:rsidR="0021364B" w:rsidRPr="005A6988" w:rsidRDefault="0021364B" w:rsidP="001B36A2">
      <w:pPr>
        <w:pStyle w:val="BodyText"/>
        <w:ind w:left="240" w:right="476"/>
        <w:jc w:val="both"/>
        <w:rPr>
          <w:rFonts w:ascii="Cambria" w:hAnsi="Cambria"/>
          <w:sz w:val="22"/>
          <w:szCs w:val="22"/>
        </w:rPr>
      </w:pPr>
    </w:p>
    <w:p w14:paraId="5D7FF30E" w14:textId="77777777" w:rsidR="00945767" w:rsidRPr="005A6988" w:rsidRDefault="001B36A2" w:rsidP="001B36A2">
      <w:pPr>
        <w:pStyle w:val="BodyText"/>
        <w:ind w:left="240" w:right="476"/>
        <w:jc w:val="both"/>
        <w:rPr>
          <w:rFonts w:ascii="Cambria" w:hAnsi="Cambria"/>
          <w:sz w:val="22"/>
          <w:szCs w:val="22"/>
        </w:rPr>
      </w:pPr>
      <w:r w:rsidRPr="005A6988">
        <w:rPr>
          <w:rFonts w:ascii="Cambria" w:hAnsi="Cambria"/>
          <w:sz w:val="22"/>
          <w:szCs w:val="22"/>
        </w:rPr>
        <w:t>(d)</w:t>
      </w:r>
      <w:r w:rsidR="00D15AAD" w:rsidRPr="005A6988">
        <w:rPr>
          <w:rFonts w:ascii="Cambria" w:hAnsi="Cambria"/>
          <w:sz w:val="22"/>
          <w:szCs w:val="22"/>
        </w:rPr>
        <w:t xml:space="preserve"> </w:t>
      </w:r>
      <w:r w:rsidRPr="005A6988">
        <w:rPr>
          <w:rFonts w:ascii="Cambria" w:hAnsi="Cambria"/>
          <w:sz w:val="22"/>
          <w:szCs w:val="22"/>
        </w:rPr>
        <w:t>“Committee” means any Committee formed under the delegated authority of the Board.</w:t>
      </w:r>
    </w:p>
    <w:p w14:paraId="109C5667" w14:textId="77777777" w:rsidR="00115B62" w:rsidRPr="005A6988" w:rsidRDefault="00115B62" w:rsidP="001B36A2">
      <w:pPr>
        <w:pStyle w:val="BodyText"/>
        <w:ind w:left="240" w:right="476"/>
        <w:jc w:val="both"/>
        <w:rPr>
          <w:rFonts w:ascii="Cambria" w:hAnsi="Cambria"/>
          <w:sz w:val="22"/>
          <w:szCs w:val="22"/>
        </w:rPr>
      </w:pPr>
    </w:p>
    <w:p w14:paraId="58AB59A0" w14:textId="5E759283" w:rsidR="00115B62" w:rsidRPr="005A6988" w:rsidRDefault="006E6401" w:rsidP="001B36A2">
      <w:pPr>
        <w:pStyle w:val="BodyText"/>
        <w:ind w:left="240" w:right="476"/>
        <w:jc w:val="both"/>
        <w:rPr>
          <w:rFonts w:ascii="Cambria" w:hAnsi="Cambria"/>
          <w:sz w:val="22"/>
          <w:szCs w:val="22"/>
        </w:rPr>
      </w:pPr>
      <w:r w:rsidRPr="005A6988">
        <w:rPr>
          <w:rFonts w:ascii="Cambria" w:hAnsi="Cambria"/>
          <w:sz w:val="22"/>
          <w:szCs w:val="22"/>
        </w:rPr>
        <w:lastRenderedPageBreak/>
        <w:t>(</w:t>
      </w:r>
      <w:r w:rsidR="00115B62" w:rsidRPr="005A6988">
        <w:rPr>
          <w:rFonts w:ascii="Cambria" w:hAnsi="Cambria"/>
          <w:sz w:val="22"/>
          <w:szCs w:val="22"/>
        </w:rPr>
        <w:t>e)</w:t>
      </w:r>
      <w:r w:rsidR="00D15AAD" w:rsidRPr="005A6988">
        <w:rPr>
          <w:rFonts w:ascii="Cambria" w:hAnsi="Cambria"/>
          <w:sz w:val="22"/>
          <w:szCs w:val="22"/>
        </w:rPr>
        <w:t xml:space="preserve"> </w:t>
      </w:r>
      <w:r w:rsidR="00115B62" w:rsidRPr="005A6988">
        <w:rPr>
          <w:rFonts w:ascii="Cambria" w:hAnsi="Cambria"/>
          <w:sz w:val="22"/>
          <w:szCs w:val="22"/>
        </w:rPr>
        <w:t>“Key Managerial Personnel”, in relation to a company, means</w:t>
      </w:r>
      <w:r w:rsidR="00E750D5" w:rsidRPr="005A6988">
        <w:rPr>
          <w:rFonts w:ascii="Cambria" w:hAnsi="Cambria"/>
          <w:sz w:val="22"/>
          <w:szCs w:val="22"/>
        </w:rPr>
        <w:t xml:space="preserve"> as defined under the Companies Act, 2013 and the rules made</w:t>
      </w:r>
      <w:r w:rsidR="00E750D5" w:rsidRPr="005A6988">
        <w:rPr>
          <w:rFonts w:ascii="Cambria" w:hAnsi="Cambria"/>
          <w:spacing w:val="-20"/>
          <w:sz w:val="22"/>
          <w:szCs w:val="22"/>
        </w:rPr>
        <w:t xml:space="preserve"> </w:t>
      </w:r>
      <w:r w:rsidR="00E750D5" w:rsidRPr="005A6988">
        <w:rPr>
          <w:rFonts w:ascii="Cambria" w:hAnsi="Cambria"/>
          <w:sz w:val="22"/>
          <w:szCs w:val="22"/>
        </w:rPr>
        <w:t>there under</w:t>
      </w:r>
      <w:r w:rsidR="000D1C46" w:rsidRPr="005A6988">
        <w:rPr>
          <w:rFonts w:ascii="Cambria" w:hAnsi="Cambria"/>
          <w:sz w:val="22"/>
          <w:szCs w:val="22"/>
        </w:rPr>
        <w:t>.</w:t>
      </w:r>
    </w:p>
    <w:p w14:paraId="7C68F1EF" w14:textId="77777777" w:rsidR="00945767" w:rsidRPr="005A6988" w:rsidRDefault="00945767" w:rsidP="0032524F">
      <w:pPr>
        <w:pStyle w:val="BodyText"/>
        <w:ind w:left="993"/>
        <w:jc w:val="both"/>
        <w:rPr>
          <w:rFonts w:ascii="Cambria" w:hAnsi="Cambria"/>
          <w:sz w:val="22"/>
          <w:szCs w:val="22"/>
        </w:rPr>
      </w:pPr>
    </w:p>
    <w:p w14:paraId="61165AF4" w14:textId="77777777" w:rsidR="006E6401" w:rsidRPr="005A6988" w:rsidRDefault="006E6401" w:rsidP="006E6401">
      <w:pPr>
        <w:pStyle w:val="BodyText"/>
        <w:ind w:left="240" w:right="476"/>
        <w:jc w:val="both"/>
        <w:rPr>
          <w:rFonts w:ascii="Cambria" w:hAnsi="Cambria"/>
          <w:sz w:val="22"/>
          <w:szCs w:val="22"/>
        </w:rPr>
      </w:pPr>
      <w:r w:rsidRPr="005A6988">
        <w:rPr>
          <w:rFonts w:ascii="Cambria" w:hAnsi="Cambria"/>
          <w:sz w:val="22"/>
          <w:szCs w:val="22"/>
        </w:rPr>
        <w:t>(f)</w:t>
      </w:r>
      <w:r w:rsidR="00D15AAD" w:rsidRPr="005A6988">
        <w:rPr>
          <w:rFonts w:ascii="Cambria" w:hAnsi="Cambria"/>
          <w:sz w:val="22"/>
          <w:szCs w:val="22"/>
        </w:rPr>
        <w:t xml:space="preserve"> </w:t>
      </w:r>
      <w:r w:rsidRPr="005A6988">
        <w:rPr>
          <w:rFonts w:ascii="Cambria" w:hAnsi="Cambria"/>
          <w:sz w:val="22"/>
          <w:szCs w:val="22"/>
        </w:rPr>
        <w:t>“Net worth” means net worth as defined in sub-section (57) of section 2 of the Companies Act, 2013.</w:t>
      </w:r>
    </w:p>
    <w:p w14:paraId="31AC29AB" w14:textId="77777777" w:rsidR="006E6401" w:rsidRPr="005A6988" w:rsidRDefault="006E6401" w:rsidP="006E6401">
      <w:pPr>
        <w:pStyle w:val="BodyText"/>
        <w:ind w:left="240" w:right="476"/>
        <w:jc w:val="both"/>
        <w:rPr>
          <w:rFonts w:ascii="Cambria" w:hAnsi="Cambria"/>
          <w:sz w:val="22"/>
          <w:szCs w:val="22"/>
        </w:rPr>
      </w:pPr>
    </w:p>
    <w:p w14:paraId="34C75598" w14:textId="77777777" w:rsidR="006E6401" w:rsidRPr="005A6988" w:rsidRDefault="006E6401" w:rsidP="006E6401">
      <w:pPr>
        <w:pStyle w:val="BodyText"/>
        <w:ind w:left="240" w:right="476"/>
        <w:jc w:val="both"/>
        <w:rPr>
          <w:rFonts w:ascii="Cambria" w:hAnsi="Cambria"/>
          <w:sz w:val="22"/>
          <w:szCs w:val="22"/>
        </w:rPr>
      </w:pPr>
      <w:r w:rsidRPr="005A6988">
        <w:rPr>
          <w:rFonts w:ascii="Cambria" w:hAnsi="Cambria"/>
          <w:sz w:val="22"/>
          <w:szCs w:val="22"/>
        </w:rPr>
        <w:t>(g)</w:t>
      </w:r>
      <w:r w:rsidR="00D15AAD" w:rsidRPr="005A6988">
        <w:rPr>
          <w:rFonts w:ascii="Cambria" w:hAnsi="Cambria"/>
          <w:sz w:val="22"/>
          <w:szCs w:val="22"/>
        </w:rPr>
        <w:t xml:space="preserve"> </w:t>
      </w:r>
      <w:r w:rsidRPr="005A6988">
        <w:rPr>
          <w:rFonts w:ascii="Cambria" w:hAnsi="Cambria"/>
          <w:sz w:val="22"/>
          <w:szCs w:val="22"/>
        </w:rPr>
        <w:t>“Paid-up share capital” or “share capital paid-up” means such aggregate amount of money credited as paid-up as is equivalent to the amount received as paid-up in respect of shares issued and also includes any amount credited as paid-up in respect of shares of the company, but does not include any other amount received in respect of such shares, by whatever name called</w:t>
      </w:r>
      <w:r w:rsidR="00D10E50" w:rsidRPr="005A6988">
        <w:rPr>
          <w:rFonts w:ascii="Cambria" w:hAnsi="Cambria"/>
          <w:sz w:val="22"/>
          <w:szCs w:val="22"/>
        </w:rPr>
        <w:t>.</w:t>
      </w:r>
    </w:p>
    <w:p w14:paraId="5E2B8534" w14:textId="77777777" w:rsidR="006E6401" w:rsidRPr="005A6988" w:rsidRDefault="006E6401" w:rsidP="006E6401">
      <w:pPr>
        <w:pStyle w:val="BodyText"/>
        <w:ind w:left="240" w:right="476"/>
        <w:jc w:val="both"/>
        <w:rPr>
          <w:rFonts w:ascii="Cambria" w:hAnsi="Cambria"/>
          <w:sz w:val="22"/>
          <w:szCs w:val="22"/>
        </w:rPr>
      </w:pPr>
    </w:p>
    <w:p w14:paraId="46A205B0" w14:textId="77777777" w:rsidR="006E6401" w:rsidRPr="005A6988" w:rsidRDefault="006E6401" w:rsidP="006E6401">
      <w:pPr>
        <w:pStyle w:val="BodyText"/>
        <w:ind w:left="240" w:right="476"/>
        <w:jc w:val="both"/>
        <w:rPr>
          <w:rFonts w:ascii="Cambria" w:hAnsi="Cambria"/>
          <w:sz w:val="22"/>
          <w:szCs w:val="22"/>
        </w:rPr>
      </w:pPr>
      <w:r w:rsidRPr="005A6988">
        <w:rPr>
          <w:rFonts w:ascii="Cambria" w:hAnsi="Cambria"/>
          <w:sz w:val="22"/>
          <w:szCs w:val="22"/>
        </w:rPr>
        <w:t>(h)</w:t>
      </w:r>
      <w:r w:rsidR="00D15AAD" w:rsidRPr="005A6988">
        <w:rPr>
          <w:rFonts w:ascii="Cambria" w:hAnsi="Cambria"/>
          <w:sz w:val="22"/>
          <w:szCs w:val="22"/>
        </w:rPr>
        <w:t xml:space="preserve"> </w:t>
      </w:r>
      <w:r w:rsidRPr="005A6988">
        <w:rPr>
          <w:rFonts w:ascii="Cambria" w:hAnsi="Cambria"/>
          <w:sz w:val="22"/>
          <w:szCs w:val="22"/>
        </w:rPr>
        <w:t>“Regulations” shall mean SEBI (Listing Obligation and Disclosure Requirements) Regulation, 2015, including any modifications, amendments, clarifications, circulars or re-enactment thereof.</w:t>
      </w:r>
    </w:p>
    <w:p w14:paraId="50C11D0F" w14:textId="77777777" w:rsidR="006E6401" w:rsidRPr="005A6988" w:rsidRDefault="006E6401" w:rsidP="006E6401">
      <w:pPr>
        <w:pStyle w:val="BodyText"/>
        <w:ind w:left="240" w:right="476"/>
        <w:jc w:val="both"/>
        <w:rPr>
          <w:rFonts w:ascii="Cambria" w:hAnsi="Cambria"/>
          <w:sz w:val="22"/>
          <w:szCs w:val="22"/>
        </w:rPr>
      </w:pPr>
    </w:p>
    <w:p w14:paraId="1B84A669" w14:textId="77777777" w:rsidR="009F218B" w:rsidRPr="005A6988" w:rsidRDefault="006E6401" w:rsidP="006E6401">
      <w:pPr>
        <w:pStyle w:val="BodyText"/>
        <w:ind w:left="240" w:right="476"/>
        <w:jc w:val="both"/>
        <w:rPr>
          <w:rFonts w:ascii="Cambria" w:hAnsi="Cambria"/>
          <w:sz w:val="22"/>
          <w:szCs w:val="22"/>
        </w:rPr>
      </w:pPr>
      <w:r w:rsidRPr="005A6988">
        <w:rPr>
          <w:rFonts w:ascii="Cambria" w:hAnsi="Cambria"/>
          <w:sz w:val="22"/>
          <w:szCs w:val="22"/>
        </w:rPr>
        <w:t>(</w:t>
      </w:r>
      <w:proofErr w:type="spellStart"/>
      <w:r w:rsidRPr="005A6988">
        <w:rPr>
          <w:rFonts w:ascii="Cambria" w:hAnsi="Cambria"/>
          <w:sz w:val="22"/>
          <w:szCs w:val="22"/>
        </w:rPr>
        <w:t>i</w:t>
      </w:r>
      <w:proofErr w:type="spellEnd"/>
      <w:r w:rsidRPr="005A6988">
        <w:rPr>
          <w:rFonts w:ascii="Cambria" w:hAnsi="Cambria"/>
          <w:sz w:val="22"/>
          <w:szCs w:val="22"/>
        </w:rPr>
        <w:t>)</w:t>
      </w:r>
      <w:r w:rsidR="00D15AAD" w:rsidRPr="005A6988">
        <w:rPr>
          <w:rFonts w:ascii="Cambria" w:hAnsi="Cambria"/>
          <w:sz w:val="22"/>
          <w:szCs w:val="22"/>
        </w:rPr>
        <w:t xml:space="preserve"> </w:t>
      </w:r>
      <w:r w:rsidRPr="005A6988">
        <w:rPr>
          <w:rFonts w:ascii="Cambria" w:hAnsi="Cambria"/>
          <w:sz w:val="22"/>
          <w:szCs w:val="22"/>
        </w:rPr>
        <w:t xml:space="preserve">"Stock Exchange" means a </w:t>
      </w:r>
      <w:proofErr w:type="spellStart"/>
      <w:r w:rsidRPr="005A6988">
        <w:rPr>
          <w:rFonts w:ascii="Cambria" w:hAnsi="Cambria"/>
          <w:sz w:val="22"/>
          <w:szCs w:val="22"/>
        </w:rPr>
        <w:t>recognised</w:t>
      </w:r>
      <w:proofErr w:type="spellEnd"/>
      <w:r w:rsidRPr="005A6988">
        <w:rPr>
          <w:rFonts w:ascii="Cambria" w:hAnsi="Cambria"/>
          <w:sz w:val="22"/>
          <w:szCs w:val="22"/>
        </w:rPr>
        <w:t xml:space="preserve"> stock exchange as defined under clause (f) of section 2 of the Securities Contracts (Regulation) Act, 1956 on which Equity shares of the Company are listed.</w:t>
      </w:r>
    </w:p>
    <w:p w14:paraId="4AF0DB71" w14:textId="77777777" w:rsidR="009F218B" w:rsidRPr="005A6988" w:rsidRDefault="009F218B" w:rsidP="006E6401">
      <w:pPr>
        <w:pStyle w:val="BodyText"/>
        <w:ind w:left="240" w:right="476"/>
        <w:jc w:val="both"/>
        <w:rPr>
          <w:rFonts w:ascii="Cambria" w:hAnsi="Cambria"/>
          <w:sz w:val="22"/>
          <w:szCs w:val="22"/>
        </w:rPr>
      </w:pPr>
    </w:p>
    <w:p w14:paraId="151F5AF7" w14:textId="07199740" w:rsidR="00113591" w:rsidRPr="005A6988" w:rsidRDefault="006E6401" w:rsidP="006E6401">
      <w:pPr>
        <w:pStyle w:val="BodyText"/>
        <w:ind w:left="240" w:right="476"/>
        <w:jc w:val="both"/>
        <w:rPr>
          <w:rFonts w:ascii="Cambria" w:hAnsi="Cambria"/>
          <w:sz w:val="22"/>
          <w:szCs w:val="22"/>
        </w:rPr>
      </w:pPr>
      <w:r w:rsidRPr="005A6988">
        <w:rPr>
          <w:rFonts w:ascii="Cambria" w:hAnsi="Cambria"/>
          <w:sz w:val="22"/>
          <w:szCs w:val="22"/>
        </w:rPr>
        <w:t>(j)</w:t>
      </w:r>
      <w:r w:rsidR="00D15AAD" w:rsidRPr="005A6988">
        <w:rPr>
          <w:rFonts w:ascii="Cambria" w:hAnsi="Cambria"/>
          <w:sz w:val="22"/>
          <w:szCs w:val="22"/>
        </w:rPr>
        <w:t xml:space="preserve"> </w:t>
      </w:r>
      <w:r w:rsidRPr="005A6988">
        <w:rPr>
          <w:rFonts w:ascii="Cambria" w:hAnsi="Cambria"/>
          <w:sz w:val="22"/>
          <w:szCs w:val="22"/>
        </w:rPr>
        <w:t xml:space="preserve">“Material Subsidiary” means a subsidiary, whose income or net worth exceeds twenty percent of the consolidated income or net worth respectively, of </w:t>
      </w:r>
      <w:proofErr w:type="spellStart"/>
      <w:r w:rsidR="005F6DB6">
        <w:rPr>
          <w:rFonts w:ascii="Cambria" w:hAnsi="Cambria"/>
          <w:sz w:val="22"/>
          <w:szCs w:val="22"/>
        </w:rPr>
        <w:t>Darshan</w:t>
      </w:r>
      <w:proofErr w:type="spellEnd"/>
      <w:r w:rsidR="005F6DB6">
        <w:rPr>
          <w:rFonts w:ascii="Cambria" w:hAnsi="Cambria"/>
          <w:sz w:val="22"/>
          <w:szCs w:val="22"/>
        </w:rPr>
        <w:t xml:space="preserve"> </w:t>
      </w:r>
      <w:proofErr w:type="spellStart"/>
      <w:r w:rsidR="005F6DB6">
        <w:rPr>
          <w:rFonts w:ascii="Cambria" w:hAnsi="Cambria"/>
          <w:sz w:val="22"/>
          <w:szCs w:val="22"/>
        </w:rPr>
        <w:t>Orna</w:t>
      </w:r>
      <w:proofErr w:type="spellEnd"/>
      <w:r w:rsidR="005F6DB6" w:rsidRPr="005A6988">
        <w:rPr>
          <w:rFonts w:ascii="Cambria" w:hAnsi="Cambria"/>
          <w:sz w:val="22"/>
          <w:szCs w:val="22"/>
        </w:rPr>
        <w:t xml:space="preserve"> </w:t>
      </w:r>
      <w:r w:rsidR="009F218B" w:rsidRPr="005A6988">
        <w:rPr>
          <w:rFonts w:ascii="Cambria" w:hAnsi="Cambria"/>
          <w:sz w:val="22"/>
          <w:szCs w:val="22"/>
        </w:rPr>
        <w:t>Limited</w:t>
      </w:r>
      <w:r w:rsidRPr="005A6988">
        <w:rPr>
          <w:rFonts w:ascii="Cambria" w:hAnsi="Cambria"/>
          <w:sz w:val="22"/>
          <w:szCs w:val="22"/>
        </w:rPr>
        <w:t xml:space="preserve"> and its subsidiaries in the immediately preceding accounting year.</w:t>
      </w:r>
    </w:p>
    <w:p w14:paraId="6EF17232" w14:textId="77777777" w:rsidR="00D15AAD" w:rsidRPr="005A6988" w:rsidRDefault="00D15AAD" w:rsidP="006E6401">
      <w:pPr>
        <w:pStyle w:val="BodyText"/>
        <w:ind w:left="240" w:right="476"/>
        <w:jc w:val="both"/>
        <w:rPr>
          <w:rFonts w:ascii="Cambria" w:hAnsi="Cambria"/>
          <w:sz w:val="22"/>
          <w:szCs w:val="22"/>
        </w:rPr>
      </w:pPr>
    </w:p>
    <w:p w14:paraId="3FB6D868" w14:textId="77777777" w:rsidR="00D15AAD" w:rsidRPr="005A6988" w:rsidRDefault="00D15AAD" w:rsidP="006E6401">
      <w:pPr>
        <w:pStyle w:val="BodyText"/>
        <w:ind w:left="240" w:right="476"/>
        <w:jc w:val="both"/>
        <w:rPr>
          <w:rFonts w:ascii="Cambria" w:hAnsi="Cambria"/>
          <w:sz w:val="22"/>
          <w:szCs w:val="22"/>
        </w:rPr>
      </w:pPr>
      <w:r w:rsidRPr="005A6988">
        <w:rPr>
          <w:rFonts w:ascii="Cambria" w:hAnsi="Cambria"/>
          <w:sz w:val="22"/>
          <w:szCs w:val="22"/>
        </w:rPr>
        <w:t xml:space="preserve">(k) “Turnover” as defined under Section 2(91) of the Act means the aggregate value of the </w:t>
      </w:r>
      <w:proofErr w:type="spellStart"/>
      <w:r w:rsidRPr="005A6988">
        <w:rPr>
          <w:rFonts w:ascii="Cambria" w:hAnsi="Cambria"/>
          <w:sz w:val="22"/>
          <w:szCs w:val="22"/>
        </w:rPr>
        <w:t>realisation</w:t>
      </w:r>
      <w:proofErr w:type="spellEnd"/>
      <w:r w:rsidRPr="005A6988">
        <w:rPr>
          <w:rFonts w:ascii="Cambria" w:hAnsi="Cambria"/>
          <w:sz w:val="22"/>
          <w:szCs w:val="22"/>
        </w:rPr>
        <w:t xml:space="preserve"> of amount made from the sale, supply or distribution of goods or on account of services rendered, or both, by the company during a financial year.</w:t>
      </w:r>
    </w:p>
    <w:p w14:paraId="6498EB84" w14:textId="77777777" w:rsidR="00D10E50" w:rsidRPr="005A6988" w:rsidRDefault="00D10E50" w:rsidP="006E6401">
      <w:pPr>
        <w:pStyle w:val="BodyText"/>
        <w:ind w:left="240" w:right="476"/>
        <w:jc w:val="both"/>
        <w:rPr>
          <w:rFonts w:ascii="Cambria" w:hAnsi="Cambria"/>
          <w:sz w:val="22"/>
          <w:szCs w:val="22"/>
        </w:rPr>
      </w:pPr>
    </w:p>
    <w:p w14:paraId="599009B5" w14:textId="77777777" w:rsidR="00D10E50" w:rsidRPr="005A6988" w:rsidRDefault="00D10E50" w:rsidP="006E6401">
      <w:pPr>
        <w:pStyle w:val="BodyText"/>
        <w:ind w:left="240" w:right="476"/>
        <w:jc w:val="both"/>
        <w:rPr>
          <w:rFonts w:ascii="Cambria" w:hAnsi="Cambria"/>
          <w:sz w:val="22"/>
          <w:szCs w:val="22"/>
        </w:rPr>
      </w:pPr>
      <w:r w:rsidRPr="005A6988">
        <w:rPr>
          <w:rFonts w:ascii="Cambria" w:hAnsi="Cambria"/>
          <w:sz w:val="22"/>
          <w:szCs w:val="22"/>
        </w:rPr>
        <w:t>Words and expressions used and not defined in the Policy shall have the same meanings respectively assigned to them in the Act and / or Regulations.</w:t>
      </w:r>
    </w:p>
    <w:p w14:paraId="05D14E08" w14:textId="77777777" w:rsidR="00E70A51" w:rsidRPr="005A6988" w:rsidRDefault="00E70A51" w:rsidP="006E6401">
      <w:pPr>
        <w:pStyle w:val="BodyText"/>
        <w:ind w:left="240" w:right="476"/>
        <w:jc w:val="both"/>
        <w:rPr>
          <w:rFonts w:ascii="Cambria" w:hAnsi="Cambria"/>
          <w:sz w:val="22"/>
          <w:szCs w:val="22"/>
        </w:rPr>
      </w:pPr>
    </w:p>
    <w:p w14:paraId="49AB4440" w14:textId="77777777" w:rsidR="00A62FC8" w:rsidRPr="005A6988" w:rsidRDefault="00A62FC8" w:rsidP="00113591">
      <w:pPr>
        <w:pStyle w:val="BodyText"/>
        <w:jc w:val="both"/>
        <w:rPr>
          <w:rFonts w:ascii="Cambria" w:hAnsi="Cambria"/>
          <w:sz w:val="22"/>
          <w:szCs w:val="22"/>
        </w:rPr>
      </w:pPr>
    </w:p>
    <w:p w14:paraId="4A661FB2" w14:textId="77777777" w:rsidR="00286BA5" w:rsidRPr="005A6988" w:rsidRDefault="004139AC" w:rsidP="00113591">
      <w:pPr>
        <w:pStyle w:val="BodyText"/>
        <w:jc w:val="both"/>
        <w:rPr>
          <w:rFonts w:ascii="Cambria" w:hAnsi="Cambria"/>
          <w:sz w:val="22"/>
          <w:szCs w:val="22"/>
        </w:rPr>
      </w:pPr>
      <w:r>
        <w:rPr>
          <w:rFonts w:ascii="Cambria" w:hAnsi="Cambria"/>
          <w:noProof/>
          <w:sz w:val="22"/>
          <w:szCs w:val="22"/>
          <w:lang w:val="en-IN" w:eastAsia="en-IN"/>
        </w:rPr>
        <w:pict w14:anchorId="0D88E6DD">
          <v:group id="_x0000_s1371" style="position:absolute;left:0;text-align:left;margin-left:69.4pt;margin-top:-7.65pt;width:488.25pt;height:24.15pt;z-index:251661312;mso-wrap-distance-left:0;mso-wrap-distance-right:0;mso-position-horizontal-relative:page" coordorigin="1396,382" coordsize="9765,483">
            <v:rect id="_x0000_s1372" style="position:absolute;left:1440;top:395;width:108;height:372" fillcolor="#d9d9d9" stroked="f"/>
            <v:rect id="_x0000_s1373" style="position:absolute;left:1707;top:395;width:108;height:372" fillcolor="#d9d9d9" stroked="f"/>
            <v:line id="_x0000_s1374" style="position:absolute" from="1440,811" to="1815,811" strokecolor="#d9d9d9" strokeweight="4.44pt"/>
            <v:rect id="_x0000_s1375" style="position:absolute;left:1548;top:395;width:158;height:372" fillcolor="#d9d9d9" stroked="f"/>
            <v:rect id="_x0000_s1376" style="position:absolute;left:1815;top:395;width:108;height:372" fillcolor="#d9d9d9" stroked="f"/>
            <v:rect id="_x0000_s1377" style="position:absolute;left:8442;top:395;width:108;height:372" fillcolor="#d9d9d9" stroked="f"/>
            <v:line id="_x0000_s1378" style="position:absolute" from="1815,811" to="8550,811" strokecolor="#d9d9d9" strokeweight="4.44pt"/>
            <v:rect id="_x0000_s1379" style="position:absolute;left:1923;top:395;width:6519;height:372" fillcolor="#d9d9d9" stroked="f"/>
            <v:rect id="_x0000_s1380" style="position:absolute;left:8550;top:395;width:108;height:372" fillcolor="#d9d9d9" stroked="f"/>
            <v:rect id="_x0000_s1381" style="position:absolute;left:11008;top:395;width:108;height:372" fillcolor="#d9d9d9" stroked="f"/>
            <v:line id="_x0000_s1382" style="position:absolute" from="8550,811" to="11116,811" strokecolor="#d9d9d9" strokeweight="4.44pt"/>
            <v:rect id="_x0000_s1383" style="position:absolute;left:8658;top:395;width:2350;height:372" fillcolor="#d9d9d9" stroked="f"/>
            <v:line id="_x0000_s1384" style="position:absolute" from="1440,387" to="1815,387" strokecolor="gray" strokeweight=".48pt"/>
            <v:line id="_x0000_s1385" style="position:absolute" from="1815,387" to="1824,387" strokecolor="gray" strokeweight=".48pt"/>
            <v:line id="_x0000_s1386" style="position:absolute" from="1824,387" to="8550,387" strokecolor="gray" strokeweight=".48pt"/>
            <v:line id="_x0000_s1387" style="position:absolute" from="8550,387" to="8560,387" strokecolor="gray" strokeweight=".48pt"/>
            <v:line id="_x0000_s1388" style="position:absolute" from="8560,387" to="11116,387" strokecolor="gray" strokeweight=".48pt"/>
            <v:line id="_x0000_s1389" style="position:absolute" from="1426,860" to="1815,860" strokecolor="gray" strokeweight=".48pt"/>
            <v:line id="_x0000_s1390" style="position:absolute" from="1800,860" to="1810,860" strokecolor="gray" strokeweight=".48pt"/>
            <v:line id="_x0000_s1391" style="position:absolute" from="1810,860" to="8550,860" strokecolor="gray" strokeweight=".48pt"/>
            <v:line id="_x0000_s1392" style="position:absolute" from="8536,860" to="8545,860" strokecolor="gray" strokeweight=".48pt"/>
            <v:line id="_x0000_s1393" style="position:absolute" from="8545,860" to="11116,860" strokecolor="gray" strokeweight=".48pt"/>
            <v:shape id="_x0000_s1394" type="#_x0000_t202" style="position:absolute;left:1396;top:383;width:9765;height:483" filled="f" stroked="f">
              <v:textbox style="mso-next-textbox:#_x0000_s1394" inset="0,0,0,0">
                <w:txbxContent>
                  <w:p w14:paraId="5520294D" w14:textId="77777777" w:rsidR="00286BA5" w:rsidRDefault="00311E56" w:rsidP="00286BA5">
                    <w:pPr>
                      <w:tabs>
                        <w:tab w:val="left" w:pos="689"/>
                      </w:tabs>
                      <w:spacing w:before="50"/>
                      <w:ind w:left="152"/>
                      <w:rPr>
                        <w:b/>
                        <w:sz w:val="24"/>
                      </w:rPr>
                    </w:pPr>
                    <w:r>
                      <w:rPr>
                        <w:b/>
                        <w:sz w:val="24"/>
                      </w:rPr>
                      <w:t>4</w:t>
                    </w:r>
                    <w:r w:rsidR="00286BA5">
                      <w:rPr>
                        <w:b/>
                        <w:sz w:val="24"/>
                      </w:rPr>
                      <w:t>.</w:t>
                    </w:r>
                    <w:r w:rsidR="00286BA5">
                      <w:rPr>
                        <w:b/>
                        <w:sz w:val="24"/>
                      </w:rPr>
                      <w:tab/>
                    </w:r>
                    <w:r w:rsidRPr="00311E56">
                      <w:rPr>
                        <w:b/>
                        <w:sz w:val="24"/>
                      </w:rPr>
                      <w:t>DISCLOSURES OF EVENTS OR INFORMATION</w:t>
                    </w:r>
                    <w:r w:rsidR="00286BA5" w:rsidRPr="007B552B">
                      <w:rPr>
                        <w:b/>
                        <w:sz w:val="24"/>
                      </w:rPr>
                      <w:t>:</w:t>
                    </w:r>
                  </w:p>
                </w:txbxContent>
              </v:textbox>
            </v:shape>
            <w10:wrap type="topAndBottom" anchorx="page"/>
          </v:group>
        </w:pict>
      </w:r>
    </w:p>
    <w:p w14:paraId="4ADABE57" w14:textId="77777777" w:rsidR="00311E56" w:rsidRPr="005A6988" w:rsidRDefault="00787BFD" w:rsidP="00787BFD">
      <w:pPr>
        <w:pStyle w:val="BodyText"/>
        <w:ind w:left="240" w:right="476"/>
        <w:jc w:val="both"/>
        <w:rPr>
          <w:rFonts w:ascii="Cambria" w:hAnsi="Cambria"/>
          <w:sz w:val="22"/>
          <w:szCs w:val="22"/>
        </w:rPr>
      </w:pPr>
      <w:r w:rsidRPr="005A6988">
        <w:rPr>
          <w:rFonts w:ascii="Cambria" w:hAnsi="Cambria"/>
          <w:sz w:val="22"/>
          <w:szCs w:val="22"/>
        </w:rPr>
        <w:t>This policy sets forth the guidelines for disclosure of material events or information.</w:t>
      </w:r>
    </w:p>
    <w:p w14:paraId="44C4DECE" w14:textId="77777777" w:rsidR="00311E56" w:rsidRPr="005A6988" w:rsidRDefault="00311E56" w:rsidP="00113591">
      <w:pPr>
        <w:pStyle w:val="BodyText"/>
        <w:jc w:val="both"/>
        <w:rPr>
          <w:rFonts w:ascii="Cambria" w:hAnsi="Cambria"/>
          <w:sz w:val="22"/>
          <w:szCs w:val="22"/>
        </w:rPr>
      </w:pPr>
    </w:p>
    <w:p w14:paraId="4FA45E73" w14:textId="77777777" w:rsidR="00311E56" w:rsidRPr="005A6988" w:rsidRDefault="00787BFD" w:rsidP="00005711">
      <w:pPr>
        <w:pStyle w:val="BodyText"/>
        <w:numPr>
          <w:ilvl w:val="0"/>
          <w:numId w:val="7"/>
        </w:numPr>
        <w:ind w:right="476"/>
        <w:jc w:val="both"/>
        <w:rPr>
          <w:rFonts w:ascii="Cambria" w:hAnsi="Cambria"/>
          <w:b/>
          <w:sz w:val="22"/>
          <w:szCs w:val="22"/>
        </w:rPr>
      </w:pPr>
      <w:r w:rsidRPr="005A6988">
        <w:rPr>
          <w:rFonts w:ascii="Cambria" w:hAnsi="Cambria"/>
          <w:b/>
          <w:sz w:val="22"/>
          <w:szCs w:val="22"/>
        </w:rPr>
        <w:t>Category A – Events or information</w:t>
      </w:r>
    </w:p>
    <w:p w14:paraId="6FC844E8" w14:textId="77777777" w:rsidR="00311E56" w:rsidRPr="005A6988" w:rsidRDefault="00311E56" w:rsidP="00113591">
      <w:pPr>
        <w:pStyle w:val="BodyText"/>
        <w:jc w:val="both"/>
        <w:rPr>
          <w:rFonts w:ascii="Cambria" w:hAnsi="Cambria"/>
          <w:sz w:val="22"/>
          <w:szCs w:val="22"/>
        </w:rPr>
      </w:pPr>
    </w:p>
    <w:p w14:paraId="71085E08" w14:textId="77777777" w:rsidR="00311E56" w:rsidRPr="005A6988" w:rsidRDefault="00787BFD" w:rsidP="00787BFD">
      <w:pPr>
        <w:pStyle w:val="BodyText"/>
        <w:ind w:left="240" w:right="476"/>
        <w:jc w:val="both"/>
        <w:rPr>
          <w:rFonts w:ascii="Cambria" w:hAnsi="Cambria"/>
          <w:sz w:val="22"/>
          <w:szCs w:val="22"/>
        </w:rPr>
      </w:pPr>
      <w:r w:rsidRPr="005A6988">
        <w:rPr>
          <w:rFonts w:ascii="Cambria" w:hAnsi="Cambria"/>
          <w:sz w:val="22"/>
          <w:szCs w:val="22"/>
        </w:rPr>
        <w:t xml:space="preserve">Category A refers to such events or information which are deemed to be material events or information without application of materiality test. The indicative list of such events or information is given as an </w:t>
      </w:r>
      <w:r w:rsidRPr="005A6988">
        <w:rPr>
          <w:rFonts w:ascii="Cambria" w:hAnsi="Cambria"/>
          <w:b/>
          <w:sz w:val="22"/>
          <w:szCs w:val="22"/>
        </w:rPr>
        <w:t>Annexure I</w:t>
      </w:r>
      <w:r w:rsidRPr="005A6988">
        <w:rPr>
          <w:rFonts w:ascii="Cambria" w:hAnsi="Cambria"/>
          <w:sz w:val="22"/>
          <w:szCs w:val="22"/>
        </w:rPr>
        <w:t>.</w:t>
      </w:r>
    </w:p>
    <w:p w14:paraId="690C4C85" w14:textId="77777777" w:rsidR="005354B5" w:rsidRPr="005A6988" w:rsidRDefault="005354B5" w:rsidP="00787BFD">
      <w:pPr>
        <w:pStyle w:val="BodyText"/>
        <w:ind w:left="240" w:right="476"/>
        <w:jc w:val="both"/>
        <w:rPr>
          <w:rFonts w:ascii="Cambria" w:hAnsi="Cambria"/>
          <w:sz w:val="22"/>
          <w:szCs w:val="22"/>
        </w:rPr>
      </w:pPr>
    </w:p>
    <w:p w14:paraId="17E06EA6" w14:textId="77777777" w:rsidR="005354B5" w:rsidRPr="005A6988" w:rsidRDefault="005354B5" w:rsidP="00005711">
      <w:pPr>
        <w:pStyle w:val="BodyText"/>
        <w:numPr>
          <w:ilvl w:val="0"/>
          <w:numId w:val="7"/>
        </w:numPr>
        <w:ind w:right="476"/>
        <w:jc w:val="both"/>
        <w:rPr>
          <w:rFonts w:ascii="Cambria" w:hAnsi="Cambria"/>
          <w:b/>
          <w:sz w:val="22"/>
          <w:szCs w:val="22"/>
        </w:rPr>
      </w:pPr>
      <w:r w:rsidRPr="005A6988">
        <w:rPr>
          <w:rFonts w:ascii="Cambria" w:hAnsi="Cambria"/>
          <w:b/>
          <w:sz w:val="22"/>
          <w:szCs w:val="22"/>
        </w:rPr>
        <w:t>Category B - Events or information</w:t>
      </w:r>
    </w:p>
    <w:p w14:paraId="1801921A" w14:textId="77777777" w:rsidR="00311E56" w:rsidRPr="005A6988" w:rsidRDefault="00311E56" w:rsidP="00113591">
      <w:pPr>
        <w:pStyle w:val="BodyText"/>
        <w:jc w:val="both"/>
        <w:rPr>
          <w:rFonts w:ascii="Cambria" w:hAnsi="Cambria"/>
          <w:sz w:val="22"/>
          <w:szCs w:val="22"/>
        </w:rPr>
      </w:pPr>
    </w:p>
    <w:p w14:paraId="0F4EA0FA" w14:textId="77777777" w:rsidR="005354B5" w:rsidRPr="005A6988" w:rsidRDefault="005354B5" w:rsidP="005354B5">
      <w:pPr>
        <w:pStyle w:val="BodyText"/>
        <w:ind w:left="240" w:right="476"/>
        <w:jc w:val="both"/>
        <w:rPr>
          <w:rFonts w:ascii="Cambria" w:hAnsi="Cambria"/>
          <w:sz w:val="22"/>
          <w:szCs w:val="22"/>
        </w:rPr>
      </w:pPr>
      <w:r w:rsidRPr="005A6988">
        <w:rPr>
          <w:rFonts w:ascii="Cambria" w:hAnsi="Cambria"/>
          <w:sz w:val="22"/>
          <w:szCs w:val="22"/>
        </w:rPr>
        <w:t>Category B refers to such events or information which are proved to be material on the application of materiality test. For determining materiality of events, the following criteria shall be applied:</w:t>
      </w:r>
    </w:p>
    <w:p w14:paraId="56824CC5" w14:textId="77777777" w:rsidR="00311E56" w:rsidRPr="005A6988" w:rsidRDefault="00311E56" w:rsidP="00113591">
      <w:pPr>
        <w:pStyle w:val="BodyText"/>
        <w:jc w:val="both"/>
        <w:rPr>
          <w:rFonts w:ascii="Cambria" w:hAnsi="Cambria"/>
          <w:sz w:val="22"/>
          <w:szCs w:val="22"/>
        </w:rPr>
      </w:pPr>
    </w:p>
    <w:p w14:paraId="5FC7F303" w14:textId="77777777" w:rsidR="005354B5" w:rsidRPr="005A6988" w:rsidRDefault="005354B5" w:rsidP="005354B5">
      <w:pPr>
        <w:pStyle w:val="BodyText"/>
        <w:numPr>
          <w:ilvl w:val="0"/>
          <w:numId w:val="6"/>
        </w:numPr>
        <w:ind w:right="476"/>
        <w:jc w:val="both"/>
        <w:rPr>
          <w:rFonts w:ascii="Cambria" w:hAnsi="Cambria"/>
          <w:sz w:val="22"/>
          <w:szCs w:val="22"/>
          <w:lang w:val="en-IN"/>
        </w:rPr>
      </w:pPr>
      <w:r w:rsidRPr="005A6988">
        <w:rPr>
          <w:rFonts w:ascii="Cambria" w:hAnsi="Cambria"/>
          <w:sz w:val="22"/>
          <w:szCs w:val="22"/>
        </w:rPr>
        <w:t>omission of which is likely to result in discontinuity or alteration of event or information already</w:t>
      </w:r>
      <w:r w:rsidRPr="005A6988">
        <w:rPr>
          <w:rFonts w:ascii="Cambria" w:hAnsi="Cambria"/>
          <w:sz w:val="22"/>
          <w:szCs w:val="22"/>
          <w:lang w:val="en-IN"/>
        </w:rPr>
        <w:t xml:space="preserve"> available publicly, </w:t>
      </w:r>
    </w:p>
    <w:p w14:paraId="14C2A4F1" w14:textId="77777777" w:rsidR="005354B5" w:rsidRPr="005A6988" w:rsidRDefault="005354B5" w:rsidP="005354B5">
      <w:pPr>
        <w:pStyle w:val="BodyText"/>
        <w:numPr>
          <w:ilvl w:val="0"/>
          <w:numId w:val="6"/>
        </w:numPr>
        <w:ind w:right="476"/>
        <w:jc w:val="both"/>
        <w:rPr>
          <w:rFonts w:ascii="Cambria" w:hAnsi="Cambria"/>
          <w:sz w:val="22"/>
          <w:szCs w:val="22"/>
          <w:lang w:val="en-IN"/>
        </w:rPr>
      </w:pPr>
      <w:r w:rsidRPr="005A6988">
        <w:rPr>
          <w:rFonts w:ascii="Cambria" w:hAnsi="Cambria"/>
          <w:sz w:val="22"/>
          <w:szCs w:val="22"/>
          <w:lang w:val="en-IN"/>
        </w:rPr>
        <w:t>omission of which is likely to result in significant market reaction if the said omission came to light at a later date, or</w:t>
      </w:r>
    </w:p>
    <w:p w14:paraId="0A3E65C8" w14:textId="77777777" w:rsidR="00311E56" w:rsidRPr="005A6988" w:rsidRDefault="005354B5" w:rsidP="005354B5">
      <w:pPr>
        <w:pStyle w:val="BodyText"/>
        <w:numPr>
          <w:ilvl w:val="0"/>
          <w:numId w:val="6"/>
        </w:numPr>
        <w:ind w:right="476"/>
        <w:jc w:val="both"/>
        <w:rPr>
          <w:rFonts w:ascii="Cambria" w:hAnsi="Cambria"/>
          <w:sz w:val="22"/>
          <w:szCs w:val="22"/>
        </w:rPr>
      </w:pPr>
      <w:proofErr w:type="gramStart"/>
      <w:r w:rsidRPr="005A6988">
        <w:rPr>
          <w:rFonts w:ascii="Cambria" w:hAnsi="Cambria"/>
          <w:sz w:val="22"/>
          <w:szCs w:val="22"/>
          <w:lang w:val="en-IN"/>
        </w:rPr>
        <w:t>which</w:t>
      </w:r>
      <w:proofErr w:type="gramEnd"/>
      <w:r w:rsidRPr="005A6988">
        <w:rPr>
          <w:rFonts w:ascii="Cambria" w:hAnsi="Cambria"/>
          <w:sz w:val="22"/>
          <w:szCs w:val="22"/>
          <w:lang w:val="en-IN"/>
        </w:rPr>
        <w:t xml:space="preserve"> are in the opinion of Board of Directors or any Committee thereof or any other person authorised for the purpose considered to be material.</w:t>
      </w:r>
    </w:p>
    <w:p w14:paraId="16D34DED" w14:textId="77777777" w:rsidR="00311E56" w:rsidRPr="005A6988" w:rsidRDefault="00311E56" w:rsidP="00113591">
      <w:pPr>
        <w:pStyle w:val="BodyText"/>
        <w:jc w:val="both"/>
        <w:rPr>
          <w:rFonts w:ascii="Cambria" w:hAnsi="Cambria"/>
          <w:sz w:val="22"/>
          <w:szCs w:val="22"/>
        </w:rPr>
      </w:pPr>
    </w:p>
    <w:p w14:paraId="43612D47" w14:textId="77777777" w:rsidR="00311E56" w:rsidRPr="005A6988" w:rsidRDefault="00037C86" w:rsidP="00037C86">
      <w:pPr>
        <w:pStyle w:val="BodyText"/>
        <w:ind w:left="240" w:right="476"/>
        <w:jc w:val="both"/>
        <w:rPr>
          <w:rFonts w:ascii="Cambria" w:hAnsi="Cambria"/>
          <w:sz w:val="22"/>
          <w:szCs w:val="22"/>
        </w:rPr>
      </w:pPr>
      <w:r w:rsidRPr="005A6988">
        <w:rPr>
          <w:rFonts w:ascii="Cambria" w:hAnsi="Cambria"/>
          <w:sz w:val="22"/>
          <w:szCs w:val="22"/>
        </w:rPr>
        <w:t xml:space="preserve">The indicative list of such event or information is given as an </w:t>
      </w:r>
      <w:r w:rsidRPr="005A6988">
        <w:rPr>
          <w:rFonts w:ascii="Cambria" w:hAnsi="Cambria"/>
          <w:b/>
          <w:sz w:val="22"/>
          <w:szCs w:val="22"/>
        </w:rPr>
        <w:t>Annexure II.</w:t>
      </w:r>
    </w:p>
    <w:p w14:paraId="0212CEC5" w14:textId="77777777" w:rsidR="00311E56" w:rsidRPr="005A6988" w:rsidRDefault="00311E56" w:rsidP="00113591">
      <w:pPr>
        <w:pStyle w:val="BodyText"/>
        <w:jc w:val="both"/>
        <w:rPr>
          <w:rFonts w:ascii="Cambria" w:hAnsi="Cambria"/>
          <w:sz w:val="22"/>
          <w:szCs w:val="22"/>
        </w:rPr>
      </w:pPr>
    </w:p>
    <w:p w14:paraId="2248D9F1" w14:textId="1CA46377" w:rsidR="00515457" w:rsidRPr="005A6988" w:rsidRDefault="00B36CB5" w:rsidP="005A6988">
      <w:pPr>
        <w:pStyle w:val="BodyText"/>
        <w:ind w:left="240" w:right="476"/>
        <w:jc w:val="both"/>
        <w:rPr>
          <w:rFonts w:ascii="Cambria" w:hAnsi="Cambria"/>
          <w:sz w:val="22"/>
          <w:szCs w:val="22"/>
        </w:rPr>
      </w:pPr>
      <w:r w:rsidRPr="005A6988">
        <w:rPr>
          <w:rFonts w:ascii="Cambria" w:hAnsi="Cambria"/>
          <w:sz w:val="22"/>
          <w:szCs w:val="22"/>
        </w:rPr>
        <w:t>However, the list of events / information given in Annexure I &amp; II are indicative and not exhaustive and the necessity or obligation to make the requisite disclosure depends upon magnitude of impact of such events or information and on the facts of each case. Any event or information which is considered material in accordance with the policy shall also be disclosed even if it is not specially listed in Annexure I or Annexure II of the policy.</w:t>
      </w:r>
    </w:p>
    <w:p w14:paraId="5FDDA56D" w14:textId="77777777" w:rsidR="00515457" w:rsidRPr="005A6988" w:rsidRDefault="00515457" w:rsidP="00113591">
      <w:pPr>
        <w:pStyle w:val="BodyText"/>
        <w:jc w:val="both"/>
        <w:rPr>
          <w:rFonts w:ascii="Cambria" w:hAnsi="Cambria"/>
          <w:sz w:val="22"/>
          <w:szCs w:val="22"/>
        </w:rPr>
      </w:pPr>
    </w:p>
    <w:p w14:paraId="1DC5CFE2" w14:textId="77777777" w:rsidR="00311E56" w:rsidRPr="005A6988" w:rsidRDefault="004139AC" w:rsidP="00113591">
      <w:pPr>
        <w:pStyle w:val="BodyText"/>
        <w:jc w:val="both"/>
        <w:rPr>
          <w:rFonts w:ascii="Cambria" w:hAnsi="Cambria"/>
          <w:sz w:val="22"/>
          <w:szCs w:val="22"/>
        </w:rPr>
      </w:pPr>
      <w:r>
        <w:rPr>
          <w:rFonts w:ascii="Cambria" w:hAnsi="Cambria"/>
          <w:noProof/>
          <w:sz w:val="22"/>
          <w:szCs w:val="22"/>
          <w:lang w:val="en-IN" w:eastAsia="en-IN"/>
        </w:rPr>
        <w:pict w14:anchorId="580D709E">
          <v:group id="_x0000_s1395" style="position:absolute;left:0;text-align:left;margin-left:69.35pt;margin-top:4.8pt;width:488.25pt;height:24.15pt;z-index:251662336;mso-wrap-distance-left:0;mso-wrap-distance-right:0;mso-position-horizontal-relative:page" coordorigin="1396,382" coordsize="9765,483">
            <v:rect id="_x0000_s1396" style="position:absolute;left:1440;top:395;width:108;height:372" fillcolor="#d9d9d9" stroked="f"/>
            <v:rect id="_x0000_s1397" style="position:absolute;left:1707;top:395;width:108;height:372" fillcolor="#d9d9d9" stroked="f"/>
            <v:line id="_x0000_s1398" style="position:absolute" from="1440,811" to="1815,811" strokecolor="#d9d9d9" strokeweight="4.44pt"/>
            <v:rect id="_x0000_s1399" style="position:absolute;left:1548;top:395;width:158;height:372" fillcolor="#d9d9d9" stroked="f"/>
            <v:rect id="_x0000_s1400" style="position:absolute;left:1815;top:395;width:108;height:372" fillcolor="#d9d9d9" stroked="f"/>
            <v:rect id="_x0000_s1401" style="position:absolute;left:8442;top:395;width:108;height:372" fillcolor="#d9d9d9" stroked="f"/>
            <v:line id="_x0000_s1402" style="position:absolute" from="1815,811" to="8550,811" strokecolor="#d9d9d9" strokeweight="4.44pt"/>
            <v:rect id="_x0000_s1403" style="position:absolute;left:1923;top:395;width:6519;height:372" fillcolor="#d9d9d9" stroked="f"/>
            <v:rect id="_x0000_s1404" style="position:absolute;left:8550;top:395;width:108;height:372" fillcolor="#d9d9d9" stroked="f"/>
            <v:rect id="_x0000_s1405" style="position:absolute;left:11008;top:395;width:108;height:372" fillcolor="#d9d9d9" stroked="f"/>
            <v:line id="_x0000_s1406" style="position:absolute" from="8550,811" to="11116,811" strokecolor="#d9d9d9" strokeweight="4.44pt"/>
            <v:rect id="_x0000_s1407" style="position:absolute;left:8658;top:395;width:2350;height:372" fillcolor="#d9d9d9" stroked="f"/>
            <v:line id="_x0000_s1408" style="position:absolute" from="1440,387" to="1815,387" strokecolor="gray" strokeweight=".48pt"/>
            <v:line id="_x0000_s1409" style="position:absolute" from="1815,387" to="1824,387" strokecolor="gray" strokeweight=".48pt"/>
            <v:line id="_x0000_s1410" style="position:absolute" from="1824,387" to="8550,387" strokecolor="gray" strokeweight=".48pt"/>
            <v:line id="_x0000_s1411" style="position:absolute" from="8550,387" to="8560,387" strokecolor="gray" strokeweight=".48pt"/>
            <v:line id="_x0000_s1412" style="position:absolute" from="8560,387" to="11116,387" strokecolor="gray" strokeweight=".48pt"/>
            <v:line id="_x0000_s1413" style="position:absolute" from="1426,860" to="1815,860" strokecolor="gray" strokeweight=".48pt"/>
            <v:line id="_x0000_s1414" style="position:absolute" from="1800,860" to="1810,860" strokecolor="gray" strokeweight=".48pt"/>
            <v:line id="_x0000_s1415" style="position:absolute" from="1810,860" to="8550,860" strokecolor="gray" strokeweight=".48pt"/>
            <v:line id="_x0000_s1416" style="position:absolute" from="8536,860" to="8545,860" strokecolor="gray" strokeweight=".48pt"/>
            <v:line id="_x0000_s1417" style="position:absolute" from="8545,860" to="11116,860" strokecolor="gray" strokeweight=".48pt"/>
            <v:shape id="_x0000_s1418" type="#_x0000_t202" style="position:absolute;left:1396;top:383;width:9765;height:483" filled="f" stroked="f">
              <v:textbox style="mso-next-textbox:#_x0000_s1418" inset="0,0,0,0">
                <w:txbxContent>
                  <w:p w14:paraId="401F0421" w14:textId="77777777" w:rsidR="00A83C7B" w:rsidRDefault="00A83C7B" w:rsidP="00A83C7B">
                    <w:pPr>
                      <w:tabs>
                        <w:tab w:val="left" w:pos="689"/>
                      </w:tabs>
                      <w:spacing w:before="50"/>
                      <w:ind w:left="152"/>
                      <w:rPr>
                        <w:b/>
                        <w:sz w:val="24"/>
                      </w:rPr>
                    </w:pPr>
                    <w:r>
                      <w:rPr>
                        <w:b/>
                        <w:sz w:val="24"/>
                      </w:rPr>
                      <w:t>5.</w:t>
                    </w:r>
                    <w:r>
                      <w:rPr>
                        <w:b/>
                        <w:sz w:val="24"/>
                      </w:rPr>
                      <w:tab/>
                    </w:r>
                    <w:r w:rsidRPr="00A83C7B">
                      <w:rPr>
                        <w:b/>
                        <w:sz w:val="24"/>
                      </w:rPr>
                      <w:t>PRINCIPLES FOR DE</w:t>
                    </w:r>
                    <w:r w:rsidR="00E70A51">
                      <w:rPr>
                        <w:b/>
                        <w:sz w:val="24"/>
                      </w:rPr>
                      <w:t>TERMINING MATERIALITY OF EVENTS</w:t>
                    </w:r>
                    <w:r w:rsidRPr="007B552B">
                      <w:rPr>
                        <w:b/>
                        <w:sz w:val="24"/>
                      </w:rPr>
                      <w:t>:</w:t>
                    </w:r>
                  </w:p>
                </w:txbxContent>
              </v:textbox>
            </v:shape>
            <w10:wrap type="topAndBottom" anchorx="page"/>
          </v:group>
        </w:pict>
      </w:r>
    </w:p>
    <w:p w14:paraId="48C4C075" w14:textId="77777777" w:rsidR="00311E56" w:rsidRPr="005A6988" w:rsidRDefault="00984EB7" w:rsidP="00984EB7">
      <w:pPr>
        <w:pStyle w:val="BodyText"/>
        <w:ind w:left="240" w:right="476"/>
        <w:jc w:val="both"/>
        <w:rPr>
          <w:rFonts w:ascii="Cambria" w:hAnsi="Cambria"/>
          <w:b/>
          <w:sz w:val="22"/>
          <w:szCs w:val="22"/>
        </w:rPr>
      </w:pPr>
      <w:r w:rsidRPr="005A6988">
        <w:rPr>
          <w:rFonts w:ascii="Cambria" w:hAnsi="Cambria"/>
          <w:b/>
          <w:sz w:val="22"/>
          <w:szCs w:val="22"/>
        </w:rPr>
        <w:t>Determination of Materiality: (Materiality test)</w:t>
      </w:r>
    </w:p>
    <w:p w14:paraId="3F181A8D" w14:textId="77777777" w:rsidR="00311E56" w:rsidRPr="005A6988" w:rsidRDefault="00311E56" w:rsidP="00113591">
      <w:pPr>
        <w:pStyle w:val="BodyText"/>
        <w:jc w:val="both"/>
        <w:rPr>
          <w:rFonts w:ascii="Cambria" w:hAnsi="Cambria"/>
          <w:sz w:val="22"/>
          <w:szCs w:val="22"/>
        </w:rPr>
      </w:pPr>
    </w:p>
    <w:p w14:paraId="1ABF6918" w14:textId="77777777" w:rsidR="00311E56" w:rsidRPr="005A6988" w:rsidRDefault="009A2C75" w:rsidP="00466F0F">
      <w:pPr>
        <w:pStyle w:val="BodyText"/>
        <w:numPr>
          <w:ilvl w:val="0"/>
          <w:numId w:val="8"/>
        </w:numPr>
        <w:ind w:right="476"/>
        <w:jc w:val="both"/>
        <w:rPr>
          <w:rFonts w:ascii="Cambria" w:hAnsi="Cambria"/>
          <w:sz w:val="22"/>
          <w:szCs w:val="22"/>
        </w:rPr>
      </w:pPr>
      <w:r w:rsidRPr="005A6988">
        <w:rPr>
          <w:rFonts w:ascii="Cambria" w:hAnsi="Cambria"/>
          <w:sz w:val="22"/>
          <w:szCs w:val="22"/>
        </w:rPr>
        <w:t>Materiality will be determined on a case to case basis depending on nature of the events, specific facts, magnitude of likely impact in case such event is omitted to be disclosed and the circumstances relating to the information or event. To determine whether a particular event or information is material in nature, the company may either consider the qualitative criteria as defined under clause IV(2) or</w:t>
      </w:r>
    </w:p>
    <w:p w14:paraId="3C2F7757" w14:textId="77777777" w:rsidR="00DF1672" w:rsidRPr="005A6988" w:rsidRDefault="00DF1672" w:rsidP="009A2C75">
      <w:pPr>
        <w:pStyle w:val="BodyText"/>
        <w:ind w:left="240" w:right="476"/>
        <w:jc w:val="both"/>
        <w:rPr>
          <w:rFonts w:ascii="Cambria" w:hAnsi="Cambria"/>
          <w:sz w:val="22"/>
          <w:szCs w:val="22"/>
        </w:rPr>
      </w:pPr>
    </w:p>
    <w:p w14:paraId="0402123C" w14:textId="77777777" w:rsidR="009A2C75" w:rsidRPr="005A6988" w:rsidRDefault="009A2C75" w:rsidP="00466F0F">
      <w:pPr>
        <w:pStyle w:val="BodyText"/>
        <w:numPr>
          <w:ilvl w:val="0"/>
          <w:numId w:val="8"/>
        </w:numPr>
        <w:ind w:right="476"/>
        <w:jc w:val="both"/>
        <w:rPr>
          <w:rFonts w:ascii="Cambria" w:hAnsi="Cambria"/>
          <w:sz w:val="22"/>
          <w:szCs w:val="22"/>
        </w:rPr>
      </w:pPr>
      <w:r w:rsidRPr="005A6988">
        <w:rPr>
          <w:rFonts w:ascii="Cambria" w:hAnsi="Cambria"/>
          <w:sz w:val="22"/>
          <w:szCs w:val="22"/>
        </w:rPr>
        <w:t>Quantitative criteria defined under clause VI,,</w:t>
      </w:r>
    </w:p>
    <w:p w14:paraId="5E82422A" w14:textId="77777777" w:rsidR="0040417E" w:rsidRPr="005A6988" w:rsidRDefault="0040417E" w:rsidP="009A2C75">
      <w:pPr>
        <w:pStyle w:val="BodyText"/>
        <w:ind w:left="240" w:right="476"/>
        <w:jc w:val="both"/>
        <w:rPr>
          <w:rFonts w:ascii="Cambria" w:hAnsi="Cambria"/>
          <w:sz w:val="22"/>
          <w:szCs w:val="22"/>
        </w:rPr>
      </w:pPr>
    </w:p>
    <w:p w14:paraId="46313234" w14:textId="77777777" w:rsidR="009A2C75" w:rsidRPr="005A6988" w:rsidRDefault="009A2C75" w:rsidP="009A2C75">
      <w:pPr>
        <w:pStyle w:val="BodyText"/>
        <w:ind w:left="240" w:right="476"/>
        <w:jc w:val="both"/>
        <w:rPr>
          <w:rFonts w:ascii="Cambria" w:hAnsi="Cambria"/>
          <w:sz w:val="22"/>
          <w:szCs w:val="22"/>
        </w:rPr>
      </w:pPr>
      <w:proofErr w:type="gramStart"/>
      <w:r w:rsidRPr="005A6988">
        <w:rPr>
          <w:rFonts w:ascii="Cambria" w:hAnsi="Cambria"/>
          <w:sz w:val="22"/>
          <w:szCs w:val="22"/>
        </w:rPr>
        <w:t>for</w:t>
      </w:r>
      <w:proofErr w:type="gramEnd"/>
      <w:r w:rsidRPr="005A6988">
        <w:rPr>
          <w:rFonts w:ascii="Cambria" w:hAnsi="Cambria"/>
          <w:sz w:val="22"/>
          <w:szCs w:val="22"/>
        </w:rPr>
        <w:t xml:space="preserve"> each event listed under </w:t>
      </w:r>
      <w:r w:rsidRPr="005A6988">
        <w:rPr>
          <w:rFonts w:ascii="Cambria" w:hAnsi="Cambria"/>
          <w:b/>
          <w:sz w:val="22"/>
          <w:szCs w:val="22"/>
        </w:rPr>
        <w:t>Annexure II</w:t>
      </w:r>
    </w:p>
    <w:p w14:paraId="685FD2C6" w14:textId="77777777" w:rsidR="00137886" w:rsidRPr="005A6988" w:rsidRDefault="004139AC" w:rsidP="00113591">
      <w:pPr>
        <w:pStyle w:val="BodyText"/>
        <w:ind w:left="240" w:right="389"/>
        <w:jc w:val="both"/>
        <w:rPr>
          <w:rFonts w:ascii="Cambria" w:hAnsi="Cambria"/>
          <w:sz w:val="22"/>
          <w:szCs w:val="22"/>
        </w:rPr>
      </w:pPr>
      <w:r>
        <w:rPr>
          <w:rFonts w:ascii="Cambria" w:hAnsi="Cambria"/>
          <w:noProof/>
          <w:sz w:val="22"/>
          <w:szCs w:val="22"/>
          <w:lang w:val="en-IN" w:eastAsia="en-IN"/>
        </w:rPr>
        <w:pict w14:anchorId="16A6506B">
          <v:group id="_x0000_s1419" style="position:absolute;left:0;text-align:left;margin-left:67.45pt;margin-top:22.95pt;width:488.25pt;height:24.15pt;z-index:251663360;mso-wrap-distance-left:0;mso-wrap-distance-right:0;mso-position-horizontal-relative:page" coordorigin="1396,382" coordsize="9765,483">
            <v:rect id="_x0000_s1420" style="position:absolute;left:1440;top:395;width:108;height:372" fillcolor="#d9d9d9" stroked="f"/>
            <v:rect id="_x0000_s1421" style="position:absolute;left:1707;top:395;width:108;height:372" fillcolor="#d9d9d9" stroked="f"/>
            <v:line id="_x0000_s1422" style="position:absolute" from="1440,811" to="1815,811" strokecolor="#d9d9d9" strokeweight="4.44pt"/>
            <v:rect id="_x0000_s1423" style="position:absolute;left:1548;top:395;width:158;height:372" fillcolor="#d9d9d9" stroked="f"/>
            <v:rect id="_x0000_s1424" style="position:absolute;left:1815;top:395;width:108;height:372" fillcolor="#d9d9d9" stroked="f"/>
            <v:rect id="_x0000_s1425" style="position:absolute;left:8442;top:395;width:108;height:372" fillcolor="#d9d9d9" stroked="f"/>
            <v:line id="_x0000_s1426" style="position:absolute" from="1815,811" to="8550,811" strokecolor="#d9d9d9" strokeweight="4.44pt"/>
            <v:rect id="_x0000_s1427" style="position:absolute;left:1923;top:395;width:6519;height:372" fillcolor="#d9d9d9" stroked="f"/>
            <v:rect id="_x0000_s1428" style="position:absolute;left:8550;top:395;width:108;height:372" fillcolor="#d9d9d9" stroked="f"/>
            <v:rect id="_x0000_s1429" style="position:absolute;left:11008;top:395;width:108;height:372" fillcolor="#d9d9d9" stroked="f"/>
            <v:line id="_x0000_s1430" style="position:absolute" from="8550,811" to="11116,811" strokecolor="#d9d9d9" strokeweight="4.44pt"/>
            <v:rect id="_x0000_s1431" style="position:absolute;left:8658;top:395;width:2350;height:372" fillcolor="#d9d9d9" stroked="f"/>
            <v:line id="_x0000_s1432" style="position:absolute" from="1440,387" to="1815,387" strokecolor="gray" strokeweight=".48pt"/>
            <v:line id="_x0000_s1433" style="position:absolute" from="1815,387" to="1824,387" strokecolor="gray" strokeweight=".48pt"/>
            <v:line id="_x0000_s1434" style="position:absolute" from="1824,387" to="8550,387" strokecolor="gray" strokeweight=".48pt"/>
            <v:line id="_x0000_s1435" style="position:absolute" from="8550,387" to="8560,387" strokecolor="gray" strokeweight=".48pt"/>
            <v:line id="_x0000_s1436" style="position:absolute" from="8560,387" to="11116,387" strokecolor="gray" strokeweight=".48pt"/>
            <v:line id="_x0000_s1437" style="position:absolute" from="1426,860" to="1815,860" strokecolor="gray" strokeweight=".48pt"/>
            <v:line id="_x0000_s1438" style="position:absolute" from="1800,860" to="1810,860" strokecolor="gray" strokeweight=".48pt"/>
            <v:line id="_x0000_s1439" style="position:absolute" from="1810,860" to="8550,860" strokecolor="gray" strokeweight=".48pt"/>
            <v:line id="_x0000_s1440" style="position:absolute" from="8536,860" to="8545,860" strokecolor="gray" strokeweight=".48pt"/>
            <v:line id="_x0000_s1441" style="position:absolute" from="8545,860" to="11116,860" strokecolor="gray" strokeweight=".48pt"/>
            <v:shape id="_x0000_s1442" type="#_x0000_t202" style="position:absolute;left:1396;top:383;width:9765;height:483" filled="f" stroked="f">
              <v:textbox style="mso-next-textbox:#_x0000_s1442" inset="0,0,0,0">
                <w:txbxContent>
                  <w:p w14:paraId="4C225B92" w14:textId="77777777" w:rsidR="00E918DF" w:rsidRDefault="00E918DF" w:rsidP="00E918DF">
                    <w:pPr>
                      <w:tabs>
                        <w:tab w:val="left" w:pos="689"/>
                      </w:tabs>
                      <w:spacing w:before="50"/>
                      <w:ind w:left="152"/>
                      <w:rPr>
                        <w:b/>
                        <w:sz w:val="24"/>
                      </w:rPr>
                    </w:pPr>
                    <w:r>
                      <w:rPr>
                        <w:b/>
                        <w:sz w:val="24"/>
                      </w:rPr>
                      <w:t xml:space="preserve">6. </w:t>
                    </w:r>
                    <w:r w:rsidR="002E3B47">
                      <w:rPr>
                        <w:b/>
                        <w:sz w:val="24"/>
                      </w:rPr>
                      <w:t xml:space="preserve">  </w:t>
                    </w:r>
                    <w:r>
                      <w:rPr>
                        <w:b/>
                        <w:sz w:val="24"/>
                      </w:rPr>
                      <w:t xml:space="preserve"> </w:t>
                    </w:r>
                    <w:r w:rsidRPr="00E918DF">
                      <w:rPr>
                        <w:b/>
                        <w:sz w:val="24"/>
                      </w:rPr>
                      <w:t>MATERIALITY THRESHOLD FOR DETERMINATION OF MATERIAL EVENTS OR INFORMATION</w:t>
                    </w:r>
                    <w:r w:rsidRPr="007B552B">
                      <w:rPr>
                        <w:b/>
                        <w:sz w:val="24"/>
                      </w:rPr>
                      <w:t>:</w:t>
                    </w:r>
                  </w:p>
                </w:txbxContent>
              </v:textbox>
            </v:shape>
            <w10:wrap type="topAndBottom" anchorx="page"/>
          </v:group>
        </w:pict>
      </w:r>
    </w:p>
    <w:p w14:paraId="3F25E69F" w14:textId="77777777" w:rsidR="00945767" w:rsidRPr="005A6988" w:rsidRDefault="00945767" w:rsidP="00113591">
      <w:pPr>
        <w:pStyle w:val="BodyText"/>
        <w:ind w:left="240" w:right="389"/>
        <w:jc w:val="both"/>
        <w:rPr>
          <w:rFonts w:ascii="Cambria" w:hAnsi="Cambria"/>
          <w:sz w:val="22"/>
          <w:szCs w:val="22"/>
        </w:rPr>
      </w:pPr>
    </w:p>
    <w:p w14:paraId="2C0D42CC" w14:textId="77777777" w:rsidR="00137886" w:rsidRPr="005A6988" w:rsidRDefault="00137886" w:rsidP="00137886">
      <w:pPr>
        <w:pStyle w:val="BodyText"/>
        <w:ind w:left="240" w:right="476"/>
        <w:jc w:val="both"/>
        <w:rPr>
          <w:rFonts w:ascii="Cambria" w:hAnsi="Cambria"/>
          <w:b/>
          <w:sz w:val="22"/>
          <w:szCs w:val="22"/>
        </w:rPr>
      </w:pPr>
      <w:r w:rsidRPr="005A6988">
        <w:rPr>
          <w:rFonts w:ascii="Cambria" w:hAnsi="Cambria"/>
          <w:sz w:val="22"/>
          <w:szCs w:val="22"/>
        </w:rPr>
        <w:t xml:space="preserve">Keeping in view the principle for determination of materiality of events or information as mentioned in Clause V(b) above, materiality threshold has been defined as follows for events / information specified in </w:t>
      </w:r>
      <w:r w:rsidRPr="005A6988">
        <w:rPr>
          <w:rFonts w:ascii="Cambria" w:hAnsi="Cambria"/>
          <w:b/>
          <w:sz w:val="22"/>
          <w:szCs w:val="22"/>
        </w:rPr>
        <w:t>Annexure II</w:t>
      </w:r>
    </w:p>
    <w:p w14:paraId="13C84834" w14:textId="77777777" w:rsidR="00CB2599" w:rsidRPr="005A6988" w:rsidRDefault="00CB2599" w:rsidP="00137886">
      <w:pPr>
        <w:pStyle w:val="BodyText"/>
        <w:ind w:left="240" w:right="476"/>
        <w:jc w:val="both"/>
        <w:rPr>
          <w:rFonts w:ascii="Cambria" w:hAnsi="Cambria"/>
          <w:b/>
          <w:sz w:val="22"/>
          <w:szCs w:val="22"/>
        </w:rPr>
      </w:pPr>
    </w:p>
    <w:p w14:paraId="0586C04C" w14:textId="77777777" w:rsidR="00CB2599" w:rsidRPr="005A6988" w:rsidRDefault="00CB2599" w:rsidP="00137886">
      <w:pPr>
        <w:pStyle w:val="BodyText"/>
        <w:ind w:left="240" w:right="476"/>
        <w:jc w:val="both"/>
        <w:rPr>
          <w:rFonts w:ascii="Cambria" w:hAnsi="Cambria"/>
          <w:sz w:val="22"/>
          <w:szCs w:val="22"/>
        </w:rPr>
      </w:pPr>
      <w:r w:rsidRPr="005A6988">
        <w:rPr>
          <w:rFonts w:ascii="Cambria" w:hAnsi="Cambria"/>
          <w:sz w:val="22"/>
          <w:szCs w:val="22"/>
        </w:rPr>
        <w:t>‘Such events or information shall be considered material:</w:t>
      </w:r>
    </w:p>
    <w:p w14:paraId="1D8BC913" w14:textId="77777777" w:rsidR="00CB2599" w:rsidRPr="005A6988" w:rsidRDefault="00CB2599" w:rsidP="00137886">
      <w:pPr>
        <w:pStyle w:val="BodyText"/>
        <w:ind w:left="240" w:right="476"/>
        <w:jc w:val="both"/>
        <w:rPr>
          <w:rFonts w:ascii="Cambria" w:hAnsi="Cambria"/>
          <w:sz w:val="22"/>
          <w:szCs w:val="22"/>
        </w:rPr>
      </w:pPr>
    </w:p>
    <w:p w14:paraId="16ADB0DA" w14:textId="77777777" w:rsidR="00CB2599" w:rsidRPr="005A6988" w:rsidRDefault="00CB2599" w:rsidP="00CB2599">
      <w:pPr>
        <w:pStyle w:val="BodyText"/>
        <w:numPr>
          <w:ilvl w:val="0"/>
          <w:numId w:val="9"/>
        </w:numPr>
        <w:ind w:right="476"/>
        <w:jc w:val="both"/>
        <w:rPr>
          <w:rFonts w:ascii="Cambria" w:hAnsi="Cambria"/>
          <w:sz w:val="22"/>
          <w:szCs w:val="22"/>
        </w:rPr>
      </w:pPr>
      <w:r w:rsidRPr="005A6988">
        <w:rPr>
          <w:rFonts w:ascii="Cambria" w:hAnsi="Cambria"/>
          <w:sz w:val="22"/>
          <w:szCs w:val="22"/>
        </w:rPr>
        <w:t xml:space="preserve">where the value involved in it exceeds 10% of the consolidated gross turnover or revenue or total income or net worth; </w:t>
      </w:r>
    </w:p>
    <w:p w14:paraId="20665198" w14:textId="77777777" w:rsidR="00CB2599" w:rsidRPr="003A371E" w:rsidRDefault="00CB2599" w:rsidP="00137886">
      <w:pPr>
        <w:pStyle w:val="BodyText"/>
        <w:ind w:left="240" w:right="476"/>
        <w:jc w:val="both"/>
        <w:rPr>
          <w:rFonts w:ascii="Cambria" w:hAnsi="Cambria"/>
          <w:sz w:val="12"/>
          <w:szCs w:val="22"/>
        </w:rPr>
      </w:pPr>
    </w:p>
    <w:p w14:paraId="1055091E" w14:textId="77777777" w:rsidR="00CB2599" w:rsidRPr="005A6988" w:rsidRDefault="00CB2599" w:rsidP="00CB2599">
      <w:pPr>
        <w:pStyle w:val="BodyText"/>
        <w:ind w:left="240" w:right="476"/>
        <w:jc w:val="center"/>
        <w:rPr>
          <w:rFonts w:ascii="Cambria" w:hAnsi="Cambria"/>
          <w:sz w:val="22"/>
          <w:szCs w:val="22"/>
        </w:rPr>
      </w:pPr>
      <w:r w:rsidRPr="005A6988">
        <w:rPr>
          <w:rFonts w:ascii="Cambria" w:hAnsi="Cambria"/>
          <w:sz w:val="22"/>
          <w:szCs w:val="22"/>
        </w:rPr>
        <w:t>OR</w:t>
      </w:r>
    </w:p>
    <w:p w14:paraId="294B6FA9" w14:textId="77777777" w:rsidR="00CB2599" w:rsidRPr="003A371E" w:rsidRDefault="00CB2599" w:rsidP="00CB2599">
      <w:pPr>
        <w:pStyle w:val="BodyText"/>
        <w:ind w:left="240" w:right="476"/>
        <w:jc w:val="center"/>
        <w:rPr>
          <w:rFonts w:ascii="Cambria" w:hAnsi="Cambria"/>
          <w:sz w:val="16"/>
          <w:szCs w:val="22"/>
        </w:rPr>
      </w:pPr>
    </w:p>
    <w:p w14:paraId="4E075CDE" w14:textId="76DEB451" w:rsidR="00CB2599" w:rsidRPr="005A6988" w:rsidRDefault="00CB2599" w:rsidP="00CB2599">
      <w:pPr>
        <w:pStyle w:val="BodyText"/>
        <w:numPr>
          <w:ilvl w:val="0"/>
          <w:numId w:val="9"/>
        </w:numPr>
        <w:ind w:right="476"/>
        <w:jc w:val="both"/>
        <w:rPr>
          <w:rFonts w:ascii="Cambria" w:hAnsi="Cambria"/>
          <w:sz w:val="22"/>
          <w:szCs w:val="22"/>
        </w:rPr>
      </w:pPr>
      <w:r w:rsidRPr="005A6988">
        <w:rPr>
          <w:rFonts w:ascii="Cambria" w:hAnsi="Cambria"/>
          <w:sz w:val="22"/>
          <w:szCs w:val="22"/>
        </w:rPr>
        <w:t xml:space="preserve">where the impact of it exceeds 5% of the consolidated gross turnover or revenue or total income or </w:t>
      </w:r>
      <w:r w:rsidR="00923E15" w:rsidRPr="005A6988">
        <w:rPr>
          <w:rFonts w:ascii="Cambria" w:hAnsi="Cambria"/>
          <w:sz w:val="22"/>
          <w:szCs w:val="22"/>
        </w:rPr>
        <w:t>net worth</w:t>
      </w:r>
      <w:r w:rsidRPr="005A6988">
        <w:rPr>
          <w:rFonts w:ascii="Cambria" w:hAnsi="Cambria"/>
          <w:sz w:val="22"/>
          <w:szCs w:val="22"/>
        </w:rPr>
        <w:t>;</w:t>
      </w:r>
    </w:p>
    <w:p w14:paraId="0B828C84" w14:textId="77777777" w:rsidR="002B03CD" w:rsidRPr="005A6988" w:rsidRDefault="002B03CD" w:rsidP="002B03CD">
      <w:pPr>
        <w:pStyle w:val="BodyText"/>
        <w:ind w:right="476"/>
        <w:jc w:val="both"/>
        <w:rPr>
          <w:rFonts w:ascii="Cambria" w:hAnsi="Cambria"/>
          <w:sz w:val="22"/>
          <w:szCs w:val="22"/>
        </w:rPr>
      </w:pPr>
    </w:p>
    <w:p w14:paraId="2A554B98" w14:textId="0ECF5802" w:rsidR="00BD25F8" w:rsidRDefault="002B03CD" w:rsidP="002B03CD">
      <w:pPr>
        <w:pStyle w:val="BodyText"/>
        <w:ind w:left="240" w:right="476"/>
        <w:jc w:val="both"/>
        <w:rPr>
          <w:rFonts w:ascii="Cambria" w:hAnsi="Cambria"/>
          <w:sz w:val="22"/>
          <w:szCs w:val="22"/>
        </w:rPr>
      </w:pPr>
      <w:r w:rsidRPr="005A6988">
        <w:rPr>
          <w:rFonts w:ascii="Cambria" w:hAnsi="Cambria"/>
          <w:sz w:val="22"/>
          <w:szCs w:val="22"/>
        </w:rPr>
        <w:t xml:space="preserve">The above threshold shall be calculated on </w:t>
      </w:r>
      <w:r w:rsidR="00923E15" w:rsidRPr="005A6988">
        <w:rPr>
          <w:rFonts w:ascii="Cambria" w:hAnsi="Cambria"/>
          <w:sz w:val="22"/>
          <w:szCs w:val="22"/>
        </w:rPr>
        <w:t>annualized</w:t>
      </w:r>
      <w:r w:rsidRPr="005A6988">
        <w:rPr>
          <w:rFonts w:ascii="Cambria" w:hAnsi="Cambria"/>
          <w:sz w:val="22"/>
          <w:szCs w:val="22"/>
        </w:rPr>
        <w:t xml:space="preserve"> basis on the basis of audited financial statements of the last audited financial year.</w:t>
      </w:r>
    </w:p>
    <w:p w14:paraId="37D8A1CD" w14:textId="77777777" w:rsidR="000D750E" w:rsidRDefault="000D750E" w:rsidP="002B03CD">
      <w:pPr>
        <w:pStyle w:val="BodyText"/>
        <w:ind w:left="240" w:right="476"/>
        <w:jc w:val="both"/>
        <w:rPr>
          <w:rFonts w:ascii="Cambria" w:hAnsi="Cambria"/>
          <w:sz w:val="22"/>
          <w:szCs w:val="22"/>
        </w:rPr>
      </w:pPr>
    </w:p>
    <w:p w14:paraId="0CC408A6" w14:textId="77777777" w:rsidR="000D750E" w:rsidRPr="005A6988" w:rsidRDefault="000D750E" w:rsidP="002B03CD">
      <w:pPr>
        <w:pStyle w:val="BodyText"/>
        <w:ind w:left="240" w:right="476"/>
        <w:jc w:val="both"/>
        <w:rPr>
          <w:rFonts w:ascii="Cambria" w:hAnsi="Cambria"/>
          <w:sz w:val="22"/>
          <w:szCs w:val="22"/>
        </w:rPr>
      </w:pPr>
    </w:p>
    <w:p w14:paraId="65FF0D84" w14:textId="77777777" w:rsidR="00BD25F8" w:rsidRPr="005A6988" w:rsidRDefault="004139AC" w:rsidP="000D750E">
      <w:pPr>
        <w:pStyle w:val="BodyText"/>
        <w:ind w:right="476"/>
        <w:jc w:val="both"/>
        <w:rPr>
          <w:rFonts w:ascii="Cambria" w:hAnsi="Cambria"/>
          <w:sz w:val="22"/>
          <w:szCs w:val="22"/>
        </w:rPr>
      </w:pPr>
      <w:r>
        <w:rPr>
          <w:rFonts w:ascii="Cambria" w:hAnsi="Cambria"/>
          <w:noProof/>
          <w:sz w:val="22"/>
          <w:szCs w:val="22"/>
          <w:lang w:val="en-IN" w:eastAsia="en-IN"/>
        </w:rPr>
        <w:pict w14:anchorId="0567C562">
          <v:group id="_x0000_s1443" style="position:absolute;left:0;text-align:left;margin-left:68.95pt;margin-top:2.25pt;width:488.25pt;height:24.15pt;z-index:251664384;mso-wrap-distance-left:0;mso-wrap-distance-right:0;mso-position-horizontal-relative:page" coordorigin="1396,382" coordsize="9765,483">
            <v:rect id="_x0000_s1444" style="position:absolute;left:1440;top:395;width:108;height:372" fillcolor="#d9d9d9" stroked="f"/>
            <v:rect id="_x0000_s1445" style="position:absolute;left:1707;top:395;width:108;height:372" fillcolor="#d9d9d9" stroked="f"/>
            <v:line id="_x0000_s1446" style="position:absolute" from="1440,811" to="1815,811" strokecolor="#d9d9d9" strokeweight="4.44pt"/>
            <v:rect id="_x0000_s1447" style="position:absolute;left:1548;top:395;width:158;height:372" fillcolor="#d9d9d9" stroked="f"/>
            <v:rect id="_x0000_s1448" style="position:absolute;left:1815;top:395;width:108;height:372" fillcolor="#d9d9d9" stroked="f"/>
            <v:rect id="_x0000_s1449" style="position:absolute;left:8442;top:395;width:108;height:372" fillcolor="#d9d9d9" stroked="f"/>
            <v:line id="_x0000_s1450" style="position:absolute" from="1815,811" to="8550,811" strokecolor="#d9d9d9" strokeweight="4.44pt"/>
            <v:rect id="_x0000_s1451" style="position:absolute;left:1923;top:395;width:6519;height:372" fillcolor="#d9d9d9" stroked="f"/>
            <v:rect id="_x0000_s1452" style="position:absolute;left:8550;top:395;width:108;height:372" fillcolor="#d9d9d9" stroked="f"/>
            <v:rect id="_x0000_s1453" style="position:absolute;left:11008;top:395;width:108;height:372" fillcolor="#d9d9d9" stroked="f"/>
            <v:line id="_x0000_s1454" style="position:absolute" from="8550,811" to="11116,811" strokecolor="#d9d9d9" strokeweight="4.44pt"/>
            <v:rect id="_x0000_s1455" style="position:absolute;left:8658;top:395;width:2350;height:372" fillcolor="#d9d9d9" stroked="f"/>
            <v:line id="_x0000_s1456" style="position:absolute" from="1440,387" to="1815,387" strokecolor="gray" strokeweight=".48pt"/>
            <v:line id="_x0000_s1457" style="position:absolute" from="1815,387" to="1824,387" strokecolor="gray" strokeweight=".48pt"/>
            <v:line id="_x0000_s1458" style="position:absolute" from="1824,387" to="8550,387" strokecolor="gray" strokeweight=".48pt"/>
            <v:line id="_x0000_s1459" style="position:absolute" from="8550,387" to="8560,387" strokecolor="gray" strokeweight=".48pt"/>
            <v:line id="_x0000_s1460" style="position:absolute" from="8560,387" to="11116,387" strokecolor="gray" strokeweight=".48pt"/>
            <v:line id="_x0000_s1461" style="position:absolute" from="1426,860" to="1815,860" strokecolor="gray" strokeweight=".48pt"/>
            <v:line id="_x0000_s1462" style="position:absolute" from="1800,860" to="1810,860" strokecolor="gray" strokeweight=".48pt"/>
            <v:line id="_x0000_s1463" style="position:absolute" from="1810,860" to="8550,860" strokecolor="gray" strokeweight=".48pt"/>
            <v:line id="_x0000_s1464" style="position:absolute" from="8536,860" to="8545,860" strokecolor="gray" strokeweight=".48pt"/>
            <v:line id="_x0000_s1465" style="position:absolute" from="8545,860" to="11116,860" strokecolor="gray" strokeweight=".48pt"/>
            <v:shape id="_x0000_s1466" type="#_x0000_t202" style="position:absolute;left:1396;top:383;width:9765;height:483" filled="f" stroked="f">
              <v:textbox style="mso-next-textbox:#_x0000_s1466" inset="0,0,0,0">
                <w:txbxContent>
                  <w:p w14:paraId="28541115" w14:textId="77777777" w:rsidR="00A3648F" w:rsidRDefault="00A3648F" w:rsidP="00A3648F">
                    <w:pPr>
                      <w:tabs>
                        <w:tab w:val="left" w:pos="689"/>
                      </w:tabs>
                      <w:spacing w:before="50"/>
                      <w:ind w:left="152"/>
                      <w:rPr>
                        <w:b/>
                        <w:sz w:val="24"/>
                      </w:rPr>
                    </w:pPr>
                    <w:r>
                      <w:rPr>
                        <w:b/>
                        <w:sz w:val="24"/>
                      </w:rPr>
                      <w:t>7.</w:t>
                    </w:r>
                    <w:r>
                      <w:rPr>
                        <w:b/>
                        <w:sz w:val="24"/>
                      </w:rPr>
                      <w:tab/>
                    </w:r>
                    <w:r w:rsidRPr="00A3648F">
                      <w:rPr>
                        <w:b/>
                        <w:sz w:val="24"/>
                      </w:rPr>
                      <w:t>GENERAL OBLIGATION FOR DISCLOSURES</w:t>
                    </w:r>
                    <w:r w:rsidRPr="007B552B">
                      <w:rPr>
                        <w:b/>
                        <w:sz w:val="24"/>
                      </w:rPr>
                      <w:t>:</w:t>
                    </w:r>
                  </w:p>
                </w:txbxContent>
              </v:textbox>
            </v:shape>
            <w10:wrap type="topAndBottom" anchorx="page"/>
          </v:group>
        </w:pict>
      </w:r>
    </w:p>
    <w:p w14:paraId="04B660B7" w14:textId="77777777" w:rsidR="00BD25F8" w:rsidRPr="005A6988" w:rsidRDefault="00BD25F8" w:rsidP="006E5D6E">
      <w:pPr>
        <w:pStyle w:val="BodyText"/>
        <w:numPr>
          <w:ilvl w:val="0"/>
          <w:numId w:val="11"/>
        </w:numPr>
        <w:ind w:right="476"/>
        <w:jc w:val="both"/>
        <w:rPr>
          <w:rFonts w:ascii="Cambria" w:hAnsi="Cambria"/>
          <w:sz w:val="22"/>
          <w:szCs w:val="22"/>
        </w:rPr>
      </w:pPr>
      <w:r w:rsidRPr="005A6988">
        <w:rPr>
          <w:rFonts w:ascii="Cambria" w:hAnsi="Cambria"/>
          <w:sz w:val="22"/>
          <w:szCs w:val="22"/>
        </w:rPr>
        <w:t xml:space="preserve">Any one of, Managing Director or Chief Financial Officer of the Company, is severally </w:t>
      </w:r>
      <w:proofErr w:type="spellStart"/>
      <w:r w:rsidRPr="005A6988">
        <w:rPr>
          <w:rFonts w:ascii="Cambria" w:hAnsi="Cambria"/>
          <w:sz w:val="22"/>
          <w:szCs w:val="22"/>
        </w:rPr>
        <w:t>authorised</w:t>
      </w:r>
      <w:proofErr w:type="spellEnd"/>
      <w:r w:rsidRPr="005A6988">
        <w:rPr>
          <w:rFonts w:ascii="Cambria" w:hAnsi="Cambria"/>
          <w:sz w:val="22"/>
          <w:szCs w:val="22"/>
        </w:rPr>
        <w:t xml:space="preserve"> to take a view on whether the event or information falls within the materiality threshold as mentioned under Clause VI of this policy, which qualifies for disclosure under Regulation 30 (5) of the Listing Regulations and intimate to the Company Secretary to disclose the said event or information to the Stock Exchanges. The contact details of Managing Director or Chief Financial Officer shall also be disclosed to the Stock Exchange(s) as well as on the website of the Company</w:t>
      </w:r>
    </w:p>
    <w:p w14:paraId="63A90533" w14:textId="77777777" w:rsidR="000F625D" w:rsidRPr="005A6988" w:rsidRDefault="000F625D" w:rsidP="002B03CD">
      <w:pPr>
        <w:pStyle w:val="BodyText"/>
        <w:ind w:left="240" w:right="476"/>
        <w:jc w:val="both"/>
        <w:rPr>
          <w:rFonts w:ascii="Cambria" w:hAnsi="Cambria"/>
          <w:sz w:val="22"/>
          <w:szCs w:val="22"/>
        </w:rPr>
      </w:pPr>
    </w:p>
    <w:p w14:paraId="6639629F" w14:textId="0F776731" w:rsidR="000F625D" w:rsidRPr="005A6988" w:rsidRDefault="000F625D" w:rsidP="006E5D6E">
      <w:pPr>
        <w:pStyle w:val="BodyText"/>
        <w:numPr>
          <w:ilvl w:val="0"/>
          <w:numId w:val="11"/>
        </w:numPr>
        <w:ind w:right="476"/>
        <w:jc w:val="both"/>
        <w:rPr>
          <w:rFonts w:ascii="Cambria" w:hAnsi="Cambria"/>
          <w:sz w:val="22"/>
          <w:szCs w:val="22"/>
        </w:rPr>
      </w:pPr>
      <w:r w:rsidRPr="005A6988">
        <w:rPr>
          <w:rFonts w:ascii="Cambria" w:hAnsi="Cambria"/>
          <w:sz w:val="22"/>
          <w:szCs w:val="22"/>
        </w:rPr>
        <w:t xml:space="preserve">The Company shall disclose all material events / information first to Stock Exchange(s) and upload the disclosure on the website of the Company as soon as reasonably possible and not later than twenty four hours from the occurrences of event or information. Provided that in case the disclosure is made after twenty four hours of occurrence of events or information, the Company shall provide reasons of delay </w:t>
      </w:r>
      <w:r w:rsidR="003A371E" w:rsidRPr="005A6988">
        <w:rPr>
          <w:rFonts w:ascii="Cambria" w:hAnsi="Cambria"/>
          <w:sz w:val="22"/>
          <w:szCs w:val="22"/>
        </w:rPr>
        <w:t>along with</w:t>
      </w:r>
      <w:r w:rsidRPr="005A6988">
        <w:rPr>
          <w:rFonts w:ascii="Cambria" w:hAnsi="Cambria"/>
          <w:sz w:val="22"/>
          <w:szCs w:val="22"/>
        </w:rPr>
        <w:t xml:space="preserve"> the disclosure.</w:t>
      </w:r>
    </w:p>
    <w:p w14:paraId="42895995" w14:textId="77777777" w:rsidR="00193A35" w:rsidRPr="005A6988" w:rsidRDefault="00193A35" w:rsidP="002B03CD">
      <w:pPr>
        <w:pStyle w:val="BodyText"/>
        <w:ind w:left="240" w:right="476"/>
        <w:jc w:val="both"/>
        <w:rPr>
          <w:rFonts w:ascii="Cambria" w:hAnsi="Cambria"/>
          <w:sz w:val="22"/>
          <w:szCs w:val="22"/>
        </w:rPr>
      </w:pPr>
    </w:p>
    <w:p w14:paraId="2A3E9195" w14:textId="77777777" w:rsidR="00193A35" w:rsidRPr="005A6988" w:rsidRDefault="00193A35" w:rsidP="006E5D6E">
      <w:pPr>
        <w:pStyle w:val="BodyText"/>
        <w:numPr>
          <w:ilvl w:val="0"/>
          <w:numId w:val="11"/>
        </w:numPr>
        <w:ind w:right="476"/>
        <w:jc w:val="both"/>
        <w:rPr>
          <w:rFonts w:ascii="Cambria" w:hAnsi="Cambria"/>
          <w:sz w:val="22"/>
          <w:szCs w:val="22"/>
        </w:rPr>
      </w:pPr>
      <w:r w:rsidRPr="005A6988">
        <w:rPr>
          <w:rFonts w:ascii="Cambria" w:hAnsi="Cambria"/>
          <w:sz w:val="22"/>
          <w:szCs w:val="22"/>
        </w:rPr>
        <w:t>The information disclosed to the Stock Exchange(s) shall be also placed on the website of the Company and the Company shall ensure that such information is hosted for a minimum period of 5 years. Thereafter the information may be handled as per the archival policy of the Company as disclosed on its website.</w:t>
      </w:r>
    </w:p>
    <w:p w14:paraId="3D63BC8C" w14:textId="77777777" w:rsidR="00193A35" w:rsidRPr="005A6988" w:rsidRDefault="00193A35" w:rsidP="002B03CD">
      <w:pPr>
        <w:pStyle w:val="BodyText"/>
        <w:ind w:left="240" w:right="476"/>
        <w:jc w:val="both"/>
        <w:rPr>
          <w:rFonts w:ascii="Cambria" w:hAnsi="Cambria"/>
          <w:sz w:val="22"/>
          <w:szCs w:val="22"/>
        </w:rPr>
      </w:pPr>
    </w:p>
    <w:p w14:paraId="36452246" w14:textId="77777777" w:rsidR="00193A35" w:rsidRPr="005A6988" w:rsidRDefault="00193A35" w:rsidP="006E5D6E">
      <w:pPr>
        <w:pStyle w:val="BodyText"/>
        <w:numPr>
          <w:ilvl w:val="0"/>
          <w:numId w:val="11"/>
        </w:numPr>
        <w:ind w:right="476"/>
        <w:jc w:val="both"/>
        <w:rPr>
          <w:rFonts w:ascii="Cambria" w:hAnsi="Cambria"/>
          <w:sz w:val="22"/>
          <w:szCs w:val="22"/>
        </w:rPr>
      </w:pPr>
      <w:r w:rsidRPr="005A6988">
        <w:rPr>
          <w:rFonts w:ascii="Cambria" w:hAnsi="Cambria"/>
          <w:sz w:val="22"/>
          <w:szCs w:val="22"/>
        </w:rPr>
        <w:t>The Company shall disclose all events or information which are material for the Company with respect to its material subsidiaries in accordance with this policy.</w:t>
      </w:r>
    </w:p>
    <w:p w14:paraId="1540A1FC" w14:textId="77777777" w:rsidR="00193A35" w:rsidRPr="005A6988" w:rsidRDefault="00193A35" w:rsidP="002B03CD">
      <w:pPr>
        <w:pStyle w:val="BodyText"/>
        <w:ind w:left="240" w:right="476"/>
        <w:jc w:val="both"/>
        <w:rPr>
          <w:rFonts w:ascii="Cambria" w:hAnsi="Cambria"/>
          <w:sz w:val="22"/>
          <w:szCs w:val="22"/>
        </w:rPr>
      </w:pPr>
    </w:p>
    <w:p w14:paraId="6B93101E" w14:textId="77777777" w:rsidR="00193A35" w:rsidRPr="005A6988" w:rsidRDefault="006D1F21" w:rsidP="006E5D6E">
      <w:pPr>
        <w:pStyle w:val="BodyText"/>
        <w:numPr>
          <w:ilvl w:val="0"/>
          <w:numId w:val="11"/>
        </w:numPr>
        <w:ind w:right="476"/>
        <w:jc w:val="both"/>
        <w:rPr>
          <w:rFonts w:ascii="Cambria" w:hAnsi="Cambria"/>
          <w:sz w:val="22"/>
          <w:szCs w:val="22"/>
        </w:rPr>
      </w:pPr>
      <w:r w:rsidRPr="005A6988">
        <w:rPr>
          <w:rFonts w:ascii="Cambria" w:hAnsi="Cambria"/>
          <w:sz w:val="22"/>
          <w:szCs w:val="22"/>
        </w:rPr>
        <w:t>The Company shall provide specific and adequate reply to all queries raised by stock exchange with respect to any events or information.</w:t>
      </w:r>
    </w:p>
    <w:p w14:paraId="03DE4B5C" w14:textId="77777777" w:rsidR="000C2E17" w:rsidRPr="005A6988" w:rsidRDefault="000C2E17" w:rsidP="002B03CD">
      <w:pPr>
        <w:pStyle w:val="BodyText"/>
        <w:ind w:left="240" w:right="476"/>
        <w:jc w:val="both"/>
        <w:rPr>
          <w:rFonts w:ascii="Cambria" w:hAnsi="Cambria"/>
          <w:sz w:val="22"/>
          <w:szCs w:val="22"/>
        </w:rPr>
      </w:pPr>
    </w:p>
    <w:p w14:paraId="01FDB0AA" w14:textId="77777777" w:rsidR="000C2E17" w:rsidRPr="005A6988" w:rsidRDefault="000C2E17" w:rsidP="006E5D6E">
      <w:pPr>
        <w:pStyle w:val="BodyText"/>
        <w:numPr>
          <w:ilvl w:val="0"/>
          <w:numId w:val="11"/>
        </w:numPr>
        <w:ind w:right="476"/>
        <w:jc w:val="both"/>
        <w:rPr>
          <w:rFonts w:ascii="Cambria" w:hAnsi="Cambria"/>
          <w:sz w:val="22"/>
          <w:szCs w:val="22"/>
        </w:rPr>
      </w:pPr>
      <w:r w:rsidRPr="005A6988">
        <w:rPr>
          <w:rFonts w:ascii="Cambria" w:hAnsi="Cambria"/>
          <w:sz w:val="22"/>
          <w:szCs w:val="22"/>
        </w:rPr>
        <w:t>The Company shall also on its own initiative, confirm or deny any reported event or information to the stock exchange(s).</w:t>
      </w:r>
    </w:p>
    <w:p w14:paraId="7C6F0B9F" w14:textId="77777777" w:rsidR="000C2E17" w:rsidRPr="005A6988" w:rsidRDefault="000C2E17" w:rsidP="002B03CD">
      <w:pPr>
        <w:pStyle w:val="BodyText"/>
        <w:ind w:left="240" w:right="476"/>
        <w:jc w:val="both"/>
        <w:rPr>
          <w:rFonts w:ascii="Cambria" w:hAnsi="Cambria"/>
          <w:sz w:val="22"/>
          <w:szCs w:val="22"/>
        </w:rPr>
      </w:pPr>
    </w:p>
    <w:p w14:paraId="4B1DD6DD" w14:textId="77777777" w:rsidR="000C2E17" w:rsidRPr="005A6988" w:rsidRDefault="000C2E17" w:rsidP="006E5D6E">
      <w:pPr>
        <w:pStyle w:val="BodyText"/>
        <w:numPr>
          <w:ilvl w:val="0"/>
          <w:numId w:val="11"/>
        </w:numPr>
        <w:ind w:right="476"/>
        <w:jc w:val="both"/>
        <w:rPr>
          <w:rFonts w:ascii="Cambria" w:hAnsi="Cambria"/>
          <w:sz w:val="22"/>
          <w:szCs w:val="22"/>
        </w:rPr>
      </w:pPr>
      <w:r w:rsidRPr="005A6988">
        <w:rPr>
          <w:rFonts w:ascii="Cambria" w:hAnsi="Cambria"/>
          <w:sz w:val="22"/>
          <w:szCs w:val="22"/>
        </w:rPr>
        <w:t>The material events or information which are not contained in the Policy but are considered to be material in the opinion of the Company shall also be disclosed to the Stock Exchange.</w:t>
      </w:r>
    </w:p>
    <w:p w14:paraId="427C1CFB" w14:textId="77777777" w:rsidR="00515457" w:rsidRPr="005A6988" w:rsidRDefault="00515457" w:rsidP="005A6988">
      <w:pPr>
        <w:pStyle w:val="BodyText"/>
        <w:ind w:right="476"/>
        <w:jc w:val="both"/>
        <w:rPr>
          <w:rFonts w:ascii="Cambria" w:hAnsi="Cambria"/>
          <w:sz w:val="22"/>
          <w:szCs w:val="22"/>
        </w:rPr>
      </w:pPr>
    </w:p>
    <w:p w14:paraId="7808866A" w14:textId="77777777" w:rsidR="000C2E17" w:rsidRPr="005A6988" w:rsidRDefault="004139AC" w:rsidP="002B03CD">
      <w:pPr>
        <w:pStyle w:val="BodyText"/>
        <w:ind w:left="240" w:right="476"/>
        <w:jc w:val="both"/>
        <w:rPr>
          <w:rFonts w:ascii="Cambria" w:hAnsi="Cambria"/>
          <w:sz w:val="22"/>
          <w:szCs w:val="22"/>
        </w:rPr>
      </w:pPr>
      <w:r>
        <w:rPr>
          <w:rFonts w:ascii="Cambria" w:hAnsi="Cambria"/>
          <w:noProof/>
          <w:sz w:val="22"/>
          <w:szCs w:val="22"/>
          <w:lang w:val="en-IN" w:eastAsia="en-IN"/>
        </w:rPr>
        <w:pict w14:anchorId="790BF007">
          <v:group id="_x0000_s1467" style="position:absolute;left:0;text-align:left;margin-left:68.75pt;margin-top:6.75pt;width:488.25pt;height:24.15pt;z-index:251665408;mso-wrap-distance-left:0;mso-wrap-distance-right:0;mso-position-horizontal-relative:page" coordorigin="1396,382" coordsize="9765,483">
            <v:rect id="_x0000_s1468" style="position:absolute;left:1440;top:395;width:108;height:372" fillcolor="#d9d9d9" stroked="f"/>
            <v:rect id="_x0000_s1469" style="position:absolute;left:1707;top:395;width:108;height:372" fillcolor="#d9d9d9" stroked="f"/>
            <v:line id="_x0000_s1470" style="position:absolute" from="1440,811" to="1815,811" strokecolor="#d9d9d9" strokeweight="4.44pt"/>
            <v:rect id="_x0000_s1471" style="position:absolute;left:1548;top:395;width:158;height:372" fillcolor="#d9d9d9" stroked="f"/>
            <v:rect id="_x0000_s1472" style="position:absolute;left:1815;top:395;width:108;height:372" fillcolor="#d9d9d9" stroked="f"/>
            <v:rect id="_x0000_s1473" style="position:absolute;left:8442;top:395;width:108;height:372" fillcolor="#d9d9d9" stroked="f"/>
            <v:line id="_x0000_s1474" style="position:absolute" from="1815,811" to="8550,811" strokecolor="#d9d9d9" strokeweight="4.44pt"/>
            <v:rect id="_x0000_s1475" style="position:absolute;left:1923;top:395;width:6519;height:372" fillcolor="#d9d9d9" stroked="f"/>
            <v:rect id="_x0000_s1476" style="position:absolute;left:8550;top:395;width:108;height:372" fillcolor="#d9d9d9" stroked="f"/>
            <v:rect id="_x0000_s1477" style="position:absolute;left:11008;top:395;width:108;height:372" fillcolor="#d9d9d9" stroked="f"/>
            <v:line id="_x0000_s1478" style="position:absolute" from="8550,811" to="11116,811" strokecolor="#d9d9d9" strokeweight="4.44pt"/>
            <v:rect id="_x0000_s1479" style="position:absolute;left:8658;top:395;width:2350;height:372" fillcolor="#d9d9d9" stroked="f"/>
            <v:line id="_x0000_s1480" style="position:absolute" from="1440,387" to="1815,387" strokecolor="gray" strokeweight=".48pt"/>
            <v:line id="_x0000_s1481" style="position:absolute" from="1815,387" to="1824,387" strokecolor="gray" strokeweight=".48pt"/>
            <v:line id="_x0000_s1482" style="position:absolute" from="1824,387" to="8550,387" strokecolor="gray" strokeweight=".48pt"/>
            <v:line id="_x0000_s1483" style="position:absolute" from="8550,387" to="8560,387" strokecolor="gray" strokeweight=".48pt"/>
            <v:line id="_x0000_s1484" style="position:absolute" from="8560,387" to="11116,387" strokecolor="gray" strokeweight=".48pt"/>
            <v:line id="_x0000_s1485" style="position:absolute" from="1426,860" to="1815,860" strokecolor="gray" strokeweight=".48pt"/>
            <v:line id="_x0000_s1486" style="position:absolute" from="1800,860" to="1810,860" strokecolor="gray" strokeweight=".48pt"/>
            <v:line id="_x0000_s1487" style="position:absolute" from="1810,860" to="8550,860" strokecolor="gray" strokeweight=".48pt"/>
            <v:line id="_x0000_s1488" style="position:absolute" from="8536,860" to="8545,860" strokecolor="gray" strokeweight=".48pt"/>
            <v:line id="_x0000_s1489" style="position:absolute" from="8545,860" to="11116,860" strokecolor="gray" strokeweight=".48pt"/>
            <v:shape id="_x0000_s1490" type="#_x0000_t202" style="position:absolute;left:1396;top:383;width:9765;height:483" filled="f" stroked="f">
              <v:textbox style="mso-next-textbox:#_x0000_s1490" inset="0,0,0,0">
                <w:txbxContent>
                  <w:p w14:paraId="36518C0E" w14:textId="77777777" w:rsidR="000C2E17" w:rsidRDefault="001B51D6" w:rsidP="000C2E17">
                    <w:pPr>
                      <w:tabs>
                        <w:tab w:val="left" w:pos="689"/>
                      </w:tabs>
                      <w:spacing w:before="50"/>
                      <w:ind w:left="152"/>
                      <w:rPr>
                        <w:b/>
                        <w:sz w:val="24"/>
                      </w:rPr>
                    </w:pPr>
                    <w:r>
                      <w:rPr>
                        <w:b/>
                        <w:sz w:val="24"/>
                      </w:rPr>
                      <w:t>8</w:t>
                    </w:r>
                    <w:r w:rsidR="000C2E17">
                      <w:rPr>
                        <w:b/>
                        <w:sz w:val="24"/>
                      </w:rPr>
                      <w:t>.</w:t>
                    </w:r>
                    <w:r w:rsidR="000C2E17">
                      <w:rPr>
                        <w:b/>
                        <w:sz w:val="24"/>
                      </w:rPr>
                      <w:tab/>
                    </w:r>
                    <w:r w:rsidRPr="001B51D6">
                      <w:rPr>
                        <w:b/>
                        <w:sz w:val="24"/>
                      </w:rPr>
                      <w:t>AMENDEMENT</w:t>
                    </w:r>
                    <w:r w:rsidR="000C2E17" w:rsidRPr="007B552B">
                      <w:rPr>
                        <w:b/>
                        <w:sz w:val="24"/>
                      </w:rPr>
                      <w:t>:</w:t>
                    </w:r>
                  </w:p>
                </w:txbxContent>
              </v:textbox>
            </v:shape>
            <w10:wrap type="topAndBottom" anchorx="page"/>
          </v:group>
        </w:pict>
      </w:r>
    </w:p>
    <w:p w14:paraId="7A199966" w14:textId="77777777" w:rsidR="000C2E17" w:rsidRPr="005A6988" w:rsidRDefault="006E5D6E" w:rsidP="000054B6">
      <w:pPr>
        <w:pStyle w:val="BodyText"/>
        <w:numPr>
          <w:ilvl w:val="0"/>
          <w:numId w:val="12"/>
        </w:numPr>
        <w:ind w:right="476"/>
        <w:jc w:val="both"/>
        <w:rPr>
          <w:rFonts w:ascii="Cambria" w:hAnsi="Cambria"/>
          <w:sz w:val="22"/>
          <w:szCs w:val="22"/>
        </w:rPr>
      </w:pPr>
      <w:r w:rsidRPr="005A6988">
        <w:rPr>
          <w:rFonts w:ascii="Cambria" w:hAnsi="Cambria"/>
          <w:sz w:val="22"/>
          <w:szCs w:val="22"/>
        </w:rPr>
        <w:t xml:space="preserve">The Board or Committee so </w:t>
      </w:r>
      <w:proofErr w:type="spellStart"/>
      <w:r w:rsidRPr="005A6988">
        <w:rPr>
          <w:rFonts w:ascii="Cambria" w:hAnsi="Cambria"/>
          <w:sz w:val="22"/>
          <w:szCs w:val="22"/>
        </w:rPr>
        <w:t>authorised</w:t>
      </w:r>
      <w:proofErr w:type="spellEnd"/>
      <w:r w:rsidRPr="005A6988">
        <w:rPr>
          <w:rFonts w:ascii="Cambria" w:hAnsi="Cambria"/>
          <w:sz w:val="22"/>
          <w:szCs w:val="22"/>
        </w:rPr>
        <w:t xml:space="preserve"> for the purpose shall have the powers to review or amend any of the provisions of this Policy, substitute any of the provisions with a new provisions or replace this Policy entirely with a new Policy.</w:t>
      </w:r>
    </w:p>
    <w:p w14:paraId="431ED8DD" w14:textId="77777777" w:rsidR="000054B6" w:rsidRPr="005A6988" w:rsidRDefault="000054B6" w:rsidP="002B03CD">
      <w:pPr>
        <w:pStyle w:val="BodyText"/>
        <w:ind w:left="240" w:right="476"/>
        <w:jc w:val="both"/>
        <w:rPr>
          <w:rFonts w:ascii="Cambria" w:hAnsi="Cambria"/>
          <w:sz w:val="22"/>
          <w:szCs w:val="22"/>
        </w:rPr>
      </w:pPr>
    </w:p>
    <w:p w14:paraId="1172650A" w14:textId="77777777" w:rsidR="00C02B35" w:rsidRPr="005A6988" w:rsidRDefault="000054B6" w:rsidP="00C02B35">
      <w:pPr>
        <w:pStyle w:val="BodyText"/>
        <w:numPr>
          <w:ilvl w:val="0"/>
          <w:numId w:val="12"/>
        </w:numPr>
        <w:ind w:right="476"/>
        <w:jc w:val="both"/>
        <w:rPr>
          <w:rFonts w:ascii="Cambria" w:hAnsi="Cambria"/>
          <w:sz w:val="22"/>
          <w:szCs w:val="22"/>
        </w:rPr>
      </w:pPr>
      <w:r w:rsidRPr="005A6988">
        <w:rPr>
          <w:rFonts w:ascii="Cambria" w:hAnsi="Cambria"/>
          <w:sz w:val="22"/>
          <w:szCs w:val="22"/>
        </w:rPr>
        <w:t xml:space="preserve">The Board or Committee so </w:t>
      </w:r>
      <w:proofErr w:type="spellStart"/>
      <w:r w:rsidRPr="005A6988">
        <w:rPr>
          <w:rFonts w:ascii="Cambria" w:hAnsi="Cambria"/>
          <w:sz w:val="22"/>
          <w:szCs w:val="22"/>
        </w:rPr>
        <w:t>authorised</w:t>
      </w:r>
      <w:proofErr w:type="spellEnd"/>
      <w:r w:rsidRPr="005A6988">
        <w:rPr>
          <w:rFonts w:ascii="Cambria" w:hAnsi="Cambria"/>
          <w:sz w:val="22"/>
          <w:szCs w:val="22"/>
        </w:rPr>
        <w:t xml:space="preserve"> for the purpose may also establish further rules and procedures, from time to time, to give effect to the intent of this Policy and further the objective of good corporate governance.</w:t>
      </w:r>
    </w:p>
    <w:p w14:paraId="770734B6" w14:textId="77777777" w:rsidR="00C02B35" w:rsidRPr="005A6988" w:rsidRDefault="004139AC" w:rsidP="00C02B35">
      <w:pPr>
        <w:pStyle w:val="BodyText"/>
        <w:ind w:right="476"/>
        <w:jc w:val="both"/>
        <w:rPr>
          <w:rFonts w:ascii="Cambria" w:hAnsi="Cambria"/>
          <w:sz w:val="22"/>
          <w:szCs w:val="22"/>
        </w:rPr>
      </w:pPr>
      <w:r>
        <w:rPr>
          <w:rFonts w:ascii="Cambria" w:hAnsi="Cambria"/>
          <w:noProof/>
          <w:sz w:val="22"/>
          <w:szCs w:val="22"/>
          <w:lang w:val="en-IN" w:eastAsia="en-IN"/>
        </w:rPr>
        <w:pict w14:anchorId="5A043BEB">
          <v:group id="_x0000_s1491" style="position:absolute;left:0;text-align:left;margin-left:70.95pt;margin-top:16.05pt;width:488.25pt;height:24.15pt;z-index:251666432;mso-wrap-distance-left:0;mso-wrap-distance-right:0;mso-position-horizontal-relative:page" coordorigin="1396,382" coordsize="9765,483">
            <v:rect id="_x0000_s1492" style="position:absolute;left:1440;top:395;width:108;height:372" fillcolor="#d9d9d9" stroked="f"/>
            <v:rect id="_x0000_s1493" style="position:absolute;left:1707;top:395;width:108;height:372" fillcolor="#d9d9d9" stroked="f"/>
            <v:line id="_x0000_s1494" style="position:absolute" from="1440,811" to="1815,811" strokecolor="#d9d9d9" strokeweight="4.44pt"/>
            <v:rect id="_x0000_s1495" style="position:absolute;left:1548;top:395;width:158;height:372" fillcolor="#d9d9d9" stroked="f"/>
            <v:rect id="_x0000_s1496" style="position:absolute;left:1815;top:395;width:108;height:372" fillcolor="#d9d9d9" stroked="f"/>
            <v:rect id="_x0000_s1497" style="position:absolute;left:8442;top:395;width:108;height:372" fillcolor="#d9d9d9" stroked="f"/>
            <v:line id="_x0000_s1498" style="position:absolute" from="1815,811" to="8550,811" strokecolor="#d9d9d9" strokeweight="4.44pt"/>
            <v:rect id="_x0000_s1499" style="position:absolute;left:1923;top:395;width:6519;height:372" fillcolor="#d9d9d9" stroked="f"/>
            <v:rect id="_x0000_s1500" style="position:absolute;left:8550;top:395;width:108;height:372" fillcolor="#d9d9d9" stroked="f"/>
            <v:rect id="_x0000_s1501" style="position:absolute;left:11008;top:395;width:108;height:372" fillcolor="#d9d9d9" stroked="f"/>
            <v:line id="_x0000_s1502" style="position:absolute" from="8550,811" to="11116,811" strokecolor="#d9d9d9" strokeweight="4.44pt"/>
            <v:rect id="_x0000_s1503" style="position:absolute;left:8658;top:395;width:2350;height:372" fillcolor="#d9d9d9" stroked="f"/>
            <v:line id="_x0000_s1504" style="position:absolute" from="1440,387" to="1815,387" strokecolor="gray" strokeweight=".48pt"/>
            <v:line id="_x0000_s1505" style="position:absolute" from="1815,387" to="1824,387" strokecolor="gray" strokeweight=".48pt"/>
            <v:line id="_x0000_s1506" style="position:absolute" from="1824,387" to="8550,387" strokecolor="gray" strokeweight=".48pt"/>
            <v:line id="_x0000_s1507" style="position:absolute" from="8550,387" to="8560,387" strokecolor="gray" strokeweight=".48pt"/>
            <v:line id="_x0000_s1508" style="position:absolute" from="8560,387" to="11116,387" strokecolor="gray" strokeweight=".48pt"/>
            <v:line id="_x0000_s1509" style="position:absolute" from="1426,860" to="1815,860" strokecolor="gray" strokeweight=".48pt"/>
            <v:line id="_x0000_s1510" style="position:absolute" from="1800,860" to="1810,860" strokecolor="gray" strokeweight=".48pt"/>
            <v:line id="_x0000_s1511" style="position:absolute" from="1810,860" to="8550,860" strokecolor="gray" strokeweight=".48pt"/>
            <v:line id="_x0000_s1512" style="position:absolute" from="8536,860" to="8545,860" strokecolor="gray" strokeweight=".48pt"/>
            <v:line id="_x0000_s1513" style="position:absolute" from="8545,860" to="11116,860" strokecolor="gray" strokeweight=".48pt"/>
            <v:shape id="_x0000_s1514" type="#_x0000_t202" style="position:absolute;left:1396;top:383;width:9765;height:483" filled="f" stroked="f">
              <v:textbox style="mso-next-textbox:#_x0000_s1514" inset="0,0,0,0">
                <w:txbxContent>
                  <w:p w14:paraId="75439366" w14:textId="77777777" w:rsidR="00C02B35" w:rsidRDefault="00962843" w:rsidP="00C02B35">
                    <w:pPr>
                      <w:tabs>
                        <w:tab w:val="left" w:pos="689"/>
                      </w:tabs>
                      <w:spacing w:before="50"/>
                      <w:ind w:left="152"/>
                      <w:rPr>
                        <w:b/>
                        <w:sz w:val="24"/>
                      </w:rPr>
                    </w:pPr>
                    <w:r>
                      <w:rPr>
                        <w:b/>
                        <w:sz w:val="24"/>
                      </w:rPr>
                      <w:t>9</w:t>
                    </w:r>
                    <w:r w:rsidR="00C02B35">
                      <w:rPr>
                        <w:b/>
                        <w:sz w:val="24"/>
                      </w:rPr>
                      <w:t>.</w:t>
                    </w:r>
                    <w:r w:rsidR="00C02B35">
                      <w:rPr>
                        <w:b/>
                        <w:sz w:val="24"/>
                      </w:rPr>
                      <w:tab/>
                    </w:r>
                    <w:r w:rsidRPr="00962843">
                      <w:rPr>
                        <w:b/>
                        <w:sz w:val="24"/>
                      </w:rPr>
                      <w:t>CONTACT DETAILS OF KEY MANAGERIAL PERSONNEL</w:t>
                    </w:r>
                    <w:r w:rsidR="00C02B35" w:rsidRPr="007B552B">
                      <w:rPr>
                        <w:b/>
                        <w:sz w:val="24"/>
                      </w:rPr>
                      <w:t>:</w:t>
                    </w:r>
                  </w:p>
                </w:txbxContent>
              </v:textbox>
            </v:shape>
            <w10:wrap type="topAndBottom" anchorx="page"/>
          </v:group>
        </w:pict>
      </w:r>
    </w:p>
    <w:p w14:paraId="6A7E1EEE" w14:textId="77777777" w:rsidR="00C02B35" w:rsidRDefault="00C02B35" w:rsidP="00C02B35">
      <w:pPr>
        <w:pStyle w:val="BodyText"/>
        <w:ind w:left="240" w:right="476"/>
        <w:jc w:val="both"/>
        <w:rPr>
          <w:rFonts w:ascii="Cambria" w:hAnsi="Cambria"/>
          <w:sz w:val="22"/>
          <w:szCs w:val="22"/>
        </w:rPr>
      </w:pPr>
    </w:p>
    <w:p w14:paraId="74B31330" w14:textId="77777777" w:rsidR="000D750E" w:rsidRPr="005A6988" w:rsidRDefault="000D750E" w:rsidP="00C02B35">
      <w:pPr>
        <w:pStyle w:val="BodyText"/>
        <w:ind w:left="240" w:right="476"/>
        <w:jc w:val="both"/>
        <w:rPr>
          <w:rFonts w:ascii="Cambria" w:hAnsi="Cambria"/>
          <w:sz w:val="22"/>
          <w:szCs w:val="22"/>
        </w:rPr>
      </w:pPr>
    </w:p>
    <w:p w14:paraId="03757133" w14:textId="77777777" w:rsidR="00C02B35" w:rsidRPr="005A6988" w:rsidRDefault="00B15544" w:rsidP="00C02B35">
      <w:pPr>
        <w:pStyle w:val="BodyText"/>
        <w:ind w:left="240" w:right="476"/>
        <w:jc w:val="both"/>
        <w:rPr>
          <w:rFonts w:ascii="Cambria" w:hAnsi="Cambria"/>
          <w:sz w:val="22"/>
          <w:szCs w:val="22"/>
        </w:rPr>
      </w:pPr>
      <w:r w:rsidRPr="005A6988">
        <w:rPr>
          <w:rFonts w:ascii="Cambria" w:hAnsi="Cambria"/>
          <w:sz w:val="22"/>
          <w:szCs w:val="22"/>
        </w:rPr>
        <w:t xml:space="preserve">Pursuant to Regulation 30 (5), the contact details of the Key Managerial Personnel </w:t>
      </w:r>
      <w:proofErr w:type="spellStart"/>
      <w:r w:rsidRPr="005A6988">
        <w:rPr>
          <w:rFonts w:ascii="Cambria" w:hAnsi="Cambria"/>
          <w:sz w:val="22"/>
          <w:szCs w:val="22"/>
        </w:rPr>
        <w:t>authorised</w:t>
      </w:r>
      <w:proofErr w:type="spellEnd"/>
      <w:r w:rsidRPr="005A6988">
        <w:rPr>
          <w:rFonts w:ascii="Cambria" w:hAnsi="Cambria"/>
          <w:sz w:val="22"/>
          <w:szCs w:val="22"/>
        </w:rPr>
        <w:t xml:space="preserve"> for the purpose of determining the materiality of event or information are as under:</w:t>
      </w:r>
    </w:p>
    <w:p w14:paraId="4B8451BF" w14:textId="77777777" w:rsidR="00C02B35" w:rsidRPr="005A6988" w:rsidRDefault="00C02B35" w:rsidP="00C02B35">
      <w:pPr>
        <w:pStyle w:val="BodyText"/>
        <w:ind w:left="240" w:right="476"/>
        <w:jc w:val="both"/>
        <w:rPr>
          <w:rFonts w:ascii="Cambria" w:hAnsi="Cambria"/>
          <w:sz w:val="22"/>
          <w:szCs w:val="22"/>
        </w:rPr>
      </w:pPr>
    </w:p>
    <w:p w14:paraId="57D4FE08" w14:textId="4B496C02" w:rsidR="00A20152" w:rsidRDefault="00764F28" w:rsidP="00C02B35">
      <w:pPr>
        <w:pStyle w:val="BodyText"/>
        <w:ind w:left="240" w:right="476"/>
        <w:jc w:val="both"/>
        <w:rPr>
          <w:rFonts w:ascii="Cambria" w:hAnsi="Cambria"/>
          <w:sz w:val="22"/>
          <w:szCs w:val="22"/>
        </w:rPr>
      </w:pPr>
      <w:r w:rsidRPr="00724AAA">
        <w:rPr>
          <w:rFonts w:ascii="Cambria" w:hAnsi="Cambria"/>
          <w:sz w:val="22"/>
          <w:szCs w:val="22"/>
        </w:rPr>
        <w:t xml:space="preserve">Mr. </w:t>
      </w:r>
      <w:proofErr w:type="spellStart"/>
      <w:r w:rsidR="00A20152">
        <w:rPr>
          <w:rFonts w:ascii="Cambria" w:hAnsi="Cambria"/>
          <w:sz w:val="22"/>
          <w:szCs w:val="22"/>
        </w:rPr>
        <w:t>Ritesh</w:t>
      </w:r>
      <w:proofErr w:type="spellEnd"/>
      <w:r w:rsidR="00A20152">
        <w:rPr>
          <w:rFonts w:ascii="Cambria" w:hAnsi="Cambria"/>
          <w:sz w:val="22"/>
          <w:szCs w:val="22"/>
        </w:rPr>
        <w:t xml:space="preserve"> </w:t>
      </w:r>
      <w:proofErr w:type="spellStart"/>
      <w:r w:rsidR="00A20152">
        <w:rPr>
          <w:rFonts w:ascii="Cambria" w:hAnsi="Cambria"/>
          <w:sz w:val="22"/>
          <w:szCs w:val="22"/>
        </w:rPr>
        <w:t>Sheth</w:t>
      </w:r>
      <w:proofErr w:type="spellEnd"/>
      <w:r w:rsidR="00B15544" w:rsidRPr="00724AAA">
        <w:rPr>
          <w:rFonts w:ascii="Cambria" w:hAnsi="Cambria"/>
          <w:sz w:val="22"/>
          <w:szCs w:val="22"/>
        </w:rPr>
        <w:t xml:space="preserve"> </w:t>
      </w:r>
    </w:p>
    <w:p w14:paraId="2E40EA46" w14:textId="212265C8" w:rsidR="00B15544" w:rsidRPr="00724AAA" w:rsidRDefault="00B15544" w:rsidP="00C02B35">
      <w:pPr>
        <w:pStyle w:val="BodyText"/>
        <w:ind w:left="240" w:right="476"/>
        <w:jc w:val="both"/>
        <w:rPr>
          <w:rFonts w:ascii="Cambria" w:hAnsi="Cambria"/>
          <w:sz w:val="22"/>
          <w:szCs w:val="22"/>
        </w:rPr>
      </w:pPr>
      <w:r w:rsidRPr="00724AAA">
        <w:rPr>
          <w:rFonts w:ascii="Cambria" w:hAnsi="Cambria"/>
          <w:sz w:val="22"/>
          <w:szCs w:val="22"/>
        </w:rPr>
        <w:t>Managing Director</w:t>
      </w:r>
    </w:p>
    <w:p w14:paraId="5F331C65" w14:textId="27911752" w:rsidR="003656B6" w:rsidRPr="003656B6" w:rsidRDefault="00B15544" w:rsidP="00C02B35">
      <w:pPr>
        <w:pStyle w:val="BodyText"/>
        <w:ind w:left="240" w:right="476"/>
        <w:jc w:val="both"/>
        <w:rPr>
          <w:rFonts w:ascii="Cambria" w:hAnsi="Cambria"/>
          <w:sz w:val="22"/>
          <w:szCs w:val="22"/>
        </w:rPr>
      </w:pPr>
      <w:r w:rsidRPr="00724AAA">
        <w:rPr>
          <w:rFonts w:ascii="Cambria" w:hAnsi="Cambria"/>
          <w:sz w:val="22"/>
          <w:szCs w:val="22"/>
        </w:rPr>
        <w:t xml:space="preserve">Email: </w:t>
      </w:r>
      <w:r w:rsidR="00A20152" w:rsidRPr="00A20152">
        <w:t>compliancingdarshan@gmail.com</w:t>
      </w:r>
    </w:p>
    <w:p w14:paraId="3AE27882" w14:textId="0AC3F6BF" w:rsidR="00C02B35" w:rsidRPr="00724AAA" w:rsidRDefault="00515457" w:rsidP="00C02B35">
      <w:pPr>
        <w:pStyle w:val="BodyText"/>
        <w:ind w:left="240" w:right="476"/>
        <w:jc w:val="both"/>
        <w:rPr>
          <w:rFonts w:ascii="Cambria" w:hAnsi="Cambria"/>
          <w:sz w:val="22"/>
          <w:szCs w:val="22"/>
        </w:rPr>
      </w:pPr>
      <w:r w:rsidRPr="00724AAA">
        <w:rPr>
          <w:rFonts w:ascii="Cambria" w:hAnsi="Cambria"/>
          <w:sz w:val="22"/>
          <w:szCs w:val="22"/>
        </w:rPr>
        <w:t>Phone</w:t>
      </w:r>
      <w:r w:rsidR="00A56BF3" w:rsidRPr="00724AAA">
        <w:rPr>
          <w:rFonts w:ascii="Cambria" w:hAnsi="Cambria"/>
          <w:sz w:val="22"/>
          <w:szCs w:val="22"/>
        </w:rPr>
        <w:t xml:space="preserve">: </w:t>
      </w:r>
      <w:r w:rsidR="004139AC" w:rsidRPr="004139AC">
        <w:rPr>
          <w:rFonts w:ascii="Cambria" w:hAnsi="Cambria"/>
          <w:sz w:val="22"/>
          <w:szCs w:val="22"/>
        </w:rPr>
        <w:t xml:space="preserve">+91 79 22142568  </w:t>
      </w:r>
    </w:p>
    <w:p w14:paraId="4B345AF0" w14:textId="77777777" w:rsidR="00EC327E" w:rsidRDefault="00EC327E" w:rsidP="003656B6">
      <w:pPr>
        <w:pStyle w:val="BodyText"/>
        <w:ind w:right="476"/>
        <w:jc w:val="both"/>
        <w:rPr>
          <w:rFonts w:ascii="Cambria" w:hAnsi="Cambria"/>
          <w:b/>
          <w:sz w:val="22"/>
          <w:szCs w:val="22"/>
        </w:rPr>
      </w:pPr>
    </w:p>
    <w:p w14:paraId="5C6A0A2F" w14:textId="77777777" w:rsidR="000D750E" w:rsidRDefault="000D750E" w:rsidP="003656B6">
      <w:pPr>
        <w:pStyle w:val="BodyText"/>
        <w:ind w:right="476"/>
        <w:jc w:val="both"/>
        <w:rPr>
          <w:rFonts w:ascii="Cambria" w:hAnsi="Cambria"/>
          <w:b/>
          <w:sz w:val="22"/>
          <w:szCs w:val="22"/>
        </w:rPr>
      </w:pPr>
    </w:p>
    <w:p w14:paraId="6B15A508" w14:textId="77777777" w:rsidR="000D750E" w:rsidRDefault="000D750E" w:rsidP="003656B6">
      <w:pPr>
        <w:pStyle w:val="BodyText"/>
        <w:ind w:right="476"/>
        <w:jc w:val="both"/>
        <w:rPr>
          <w:rFonts w:ascii="Cambria" w:hAnsi="Cambria"/>
          <w:b/>
          <w:sz w:val="22"/>
          <w:szCs w:val="22"/>
        </w:rPr>
      </w:pPr>
    </w:p>
    <w:p w14:paraId="38691CB1" w14:textId="77777777" w:rsidR="000D750E" w:rsidRDefault="000D750E" w:rsidP="003656B6">
      <w:pPr>
        <w:pStyle w:val="BodyText"/>
        <w:ind w:right="476"/>
        <w:jc w:val="both"/>
        <w:rPr>
          <w:rFonts w:ascii="Cambria" w:hAnsi="Cambria"/>
          <w:b/>
          <w:sz w:val="22"/>
          <w:szCs w:val="22"/>
        </w:rPr>
      </w:pPr>
    </w:p>
    <w:p w14:paraId="337E84A6" w14:textId="77777777" w:rsidR="000D750E" w:rsidRDefault="000D750E" w:rsidP="003656B6">
      <w:pPr>
        <w:pStyle w:val="BodyText"/>
        <w:ind w:right="476"/>
        <w:jc w:val="both"/>
        <w:rPr>
          <w:rFonts w:ascii="Cambria" w:hAnsi="Cambria"/>
          <w:b/>
          <w:sz w:val="22"/>
          <w:szCs w:val="22"/>
        </w:rPr>
      </w:pPr>
    </w:p>
    <w:p w14:paraId="17B39FAF" w14:textId="77777777" w:rsidR="000D750E" w:rsidRDefault="000D750E" w:rsidP="003656B6">
      <w:pPr>
        <w:pStyle w:val="BodyText"/>
        <w:ind w:right="476"/>
        <w:jc w:val="both"/>
        <w:rPr>
          <w:rFonts w:ascii="Cambria" w:hAnsi="Cambria"/>
          <w:b/>
          <w:sz w:val="22"/>
          <w:szCs w:val="22"/>
        </w:rPr>
      </w:pPr>
    </w:p>
    <w:p w14:paraId="6101CC12" w14:textId="77777777" w:rsidR="000D750E" w:rsidRDefault="000D750E" w:rsidP="003656B6">
      <w:pPr>
        <w:pStyle w:val="BodyText"/>
        <w:ind w:right="476"/>
        <w:jc w:val="both"/>
        <w:rPr>
          <w:rFonts w:ascii="Cambria" w:hAnsi="Cambria"/>
          <w:b/>
          <w:sz w:val="22"/>
          <w:szCs w:val="22"/>
        </w:rPr>
      </w:pPr>
    </w:p>
    <w:p w14:paraId="1CFEC407" w14:textId="77777777" w:rsidR="000D750E" w:rsidRDefault="000D750E" w:rsidP="003656B6">
      <w:pPr>
        <w:pStyle w:val="BodyText"/>
        <w:ind w:right="476"/>
        <w:jc w:val="both"/>
        <w:rPr>
          <w:rFonts w:ascii="Cambria" w:hAnsi="Cambria"/>
          <w:b/>
          <w:sz w:val="22"/>
          <w:szCs w:val="22"/>
        </w:rPr>
      </w:pPr>
    </w:p>
    <w:p w14:paraId="56DC50AB" w14:textId="77777777" w:rsidR="004653B2" w:rsidRPr="005A6988" w:rsidRDefault="004653B2" w:rsidP="00C02B35">
      <w:pPr>
        <w:pStyle w:val="BodyText"/>
        <w:ind w:left="240" w:right="476"/>
        <w:jc w:val="both"/>
        <w:rPr>
          <w:rFonts w:ascii="Cambria" w:hAnsi="Cambria"/>
          <w:b/>
          <w:sz w:val="22"/>
          <w:szCs w:val="22"/>
        </w:rPr>
      </w:pPr>
      <w:r w:rsidRPr="00724AAA">
        <w:rPr>
          <w:rFonts w:ascii="Cambria" w:hAnsi="Cambria"/>
          <w:b/>
          <w:sz w:val="22"/>
          <w:szCs w:val="22"/>
        </w:rPr>
        <w:t>ANNEXURE</w:t>
      </w:r>
      <w:r w:rsidRPr="005A6988">
        <w:rPr>
          <w:rFonts w:ascii="Cambria" w:hAnsi="Cambria"/>
          <w:b/>
          <w:sz w:val="22"/>
          <w:szCs w:val="22"/>
        </w:rPr>
        <w:t xml:space="preserve"> – I</w:t>
      </w:r>
    </w:p>
    <w:p w14:paraId="5D0F8CF5" w14:textId="77777777" w:rsidR="004653B2" w:rsidRPr="005A6988" w:rsidRDefault="004653B2" w:rsidP="00C02B35">
      <w:pPr>
        <w:pStyle w:val="BodyText"/>
        <w:ind w:left="240" w:right="476"/>
        <w:jc w:val="both"/>
        <w:rPr>
          <w:rFonts w:ascii="Cambria" w:hAnsi="Cambria"/>
          <w:sz w:val="22"/>
          <w:szCs w:val="22"/>
        </w:rPr>
      </w:pPr>
    </w:p>
    <w:p w14:paraId="389F6EDE" w14:textId="77777777" w:rsidR="00C02B35" w:rsidRPr="005A6988" w:rsidRDefault="004653B2" w:rsidP="004653B2">
      <w:pPr>
        <w:pStyle w:val="BodyText"/>
        <w:ind w:left="240" w:right="476"/>
        <w:jc w:val="both"/>
        <w:rPr>
          <w:rFonts w:ascii="Cambria" w:hAnsi="Cambria"/>
          <w:b/>
          <w:sz w:val="22"/>
          <w:szCs w:val="22"/>
          <w:u w:val="single"/>
        </w:rPr>
      </w:pPr>
      <w:r w:rsidRPr="005A6988">
        <w:rPr>
          <w:rFonts w:ascii="Cambria" w:hAnsi="Cambria"/>
          <w:b/>
          <w:sz w:val="22"/>
          <w:szCs w:val="22"/>
          <w:u w:val="single"/>
        </w:rPr>
        <w:t>Indicative List of events or information deemed to be material without application of Materiality test:</w:t>
      </w:r>
    </w:p>
    <w:p w14:paraId="576D08A6" w14:textId="77777777" w:rsidR="00C02B35" w:rsidRPr="005A6988" w:rsidRDefault="00C02B35" w:rsidP="00C02B35">
      <w:pPr>
        <w:pStyle w:val="BodyText"/>
        <w:ind w:left="240" w:right="476"/>
        <w:jc w:val="both"/>
        <w:rPr>
          <w:rFonts w:ascii="Cambria" w:hAnsi="Cambria"/>
          <w:sz w:val="22"/>
          <w:szCs w:val="22"/>
        </w:rPr>
      </w:pPr>
    </w:p>
    <w:tbl>
      <w:tblPr>
        <w:tblStyle w:val="TableGrid"/>
        <w:tblW w:w="0" w:type="auto"/>
        <w:tblInd w:w="240" w:type="dxa"/>
        <w:tblLayout w:type="fixed"/>
        <w:tblLook w:val="04A0" w:firstRow="1" w:lastRow="0" w:firstColumn="1" w:lastColumn="0" w:noHBand="0" w:noVBand="1"/>
      </w:tblPr>
      <w:tblGrid>
        <w:gridCol w:w="1144"/>
        <w:gridCol w:w="8972"/>
      </w:tblGrid>
      <w:tr w:rsidR="004653B2" w:rsidRPr="005A6988" w14:paraId="793DCA00" w14:textId="77777777" w:rsidTr="00122173">
        <w:tc>
          <w:tcPr>
            <w:tcW w:w="1144" w:type="dxa"/>
          </w:tcPr>
          <w:p w14:paraId="0CF1A585" w14:textId="77777777" w:rsidR="004653B2" w:rsidRPr="005A6988" w:rsidRDefault="004653B2" w:rsidP="00122173">
            <w:pPr>
              <w:pStyle w:val="BodyText"/>
              <w:ind w:right="476"/>
              <w:jc w:val="both"/>
              <w:rPr>
                <w:rFonts w:ascii="Cambria" w:hAnsi="Cambria"/>
                <w:sz w:val="22"/>
                <w:szCs w:val="22"/>
              </w:rPr>
            </w:pPr>
            <w:r w:rsidRPr="005A6988">
              <w:rPr>
                <w:rFonts w:ascii="Cambria" w:hAnsi="Cambria"/>
                <w:sz w:val="22"/>
                <w:szCs w:val="22"/>
              </w:rPr>
              <w:t xml:space="preserve">Sr. </w:t>
            </w:r>
            <w:r w:rsidR="001B323E" w:rsidRPr="005A6988">
              <w:rPr>
                <w:rFonts w:ascii="Cambria" w:hAnsi="Cambria"/>
                <w:sz w:val="22"/>
                <w:szCs w:val="22"/>
              </w:rPr>
              <w:t xml:space="preserve"> N</w:t>
            </w:r>
            <w:r w:rsidRPr="005A6988">
              <w:rPr>
                <w:rFonts w:ascii="Cambria" w:hAnsi="Cambria"/>
                <w:sz w:val="22"/>
                <w:szCs w:val="22"/>
              </w:rPr>
              <w:t>o</w:t>
            </w:r>
            <w:r w:rsidR="00122173" w:rsidRPr="005A6988">
              <w:rPr>
                <w:rFonts w:ascii="Cambria" w:hAnsi="Cambria"/>
                <w:sz w:val="22"/>
                <w:szCs w:val="22"/>
              </w:rPr>
              <w:t>.</w:t>
            </w:r>
          </w:p>
        </w:tc>
        <w:tc>
          <w:tcPr>
            <w:tcW w:w="8972" w:type="dxa"/>
          </w:tcPr>
          <w:p w14:paraId="2D67914C" w14:textId="77777777" w:rsidR="004653B2" w:rsidRPr="005A6988" w:rsidRDefault="004653B2" w:rsidP="00C02B35">
            <w:pPr>
              <w:pStyle w:val="BodyText"/>
              <w:ind w:right="476"/>
              <w:jc w:val="both"/>
              <w:rPr>
                <w:rFonts w:ascii="Cambria" w:hAnsi="Cambria"/>
                <w:sz w:val="22"/>
                <w:szCs w:val="22"/>
              </w:rPr>
            </w:pPr>
            <w:r w:rsidRPr="005A6988">
              <w:rPr>
                <w:rFonts w:ascii="Cambria" w:hAnsi="Cambria"/>
                <w:sz w:val="22"/>
                <w:szCs w:val="22"/>
              </w:rPr>
              <w:t>Events or information</w:t>
            </w:r>
          </w:p>
        </w:tc>
      </w:tr>
      <w:tr w:rsidR="004653B2" w:rsidRPr="005A6988" w14:paraId="263C1112" w14:textId="77777777" w:rsidTr="00122173">
        <w:tc>
          <w:tcPr>
            <w:tcW w:w="1144" w:type="dxa"/>
          </w:tcPr>
          <w:p w14:paraId="527B6772" w14:textId="77777777" w:rsidR="004653B2" w:rsidRPr="005A6988" w:rsidRDefault="00122173" w:rsidP="00474659">
            <w:pPr>
              <w:pStyle w:val="BodyText"/>
              <w:ind w:right="476"/>
              <w:jc w:val="center"/>
              <w:rPr>
                <w:rFonts w:ascii="Cambria" w:hAnsi="Cambria"/>
                <w:sz w:val="22"/>
                <w:szCs w:val="22"/>
              </w:rPr>
            </w:pPr>
            <w:r w:rsidRPr="005A6988">
              <w:rPr>
                <w:rFonts w:ascii="Cambria" w:hAnsi="Cambria"/>
                <w:sz w:val="22"/>
                <w:szCs w:val="22"/>
              </w:rPr>
              <w:t>1</w:t>
            </w:r>
          </w:p>
        </w:tc>
        <w:tc>
          <w:tcPr>
            <w:tcW w:w="8972" w:type="dxa"/>
          </w:tcPr>
          <w:p w14:paraId="633C6D95" w14:textId="77777777" w:rsidR="00122173" w:rsidRPr="005A6988" w:rsidRDefault="00122173" w:rsidP="00C02B35">
            <w:pPr>
              <w:pStyle w:val="BodyText"/>
              <w:ind w:right="476"/>
              <w:jc w:val="both"/>
              <w:rPr>
                <w:rFonts w:ascii="Cambria" w:hAnsi="Cambria"/>
                <w:sz w:val="22"/>
                <w:szCs w:val="22"/>
              </w:rPr>
            </w:pPr>
            <w:r w:rsidRPr="005A6988">
              <w:rPr>
                <w:rFonts w:ascii="Cambria" w:hAnsi="Cambria"/>
                <w:sz w:val="22"/>
                <w:szCs w:val="22"/>
              </w:rPr>
              <w:t>Acquisition (including agreement to acquire), Scheme of Amalgamation (amalgamation/ merger/ demerger/ restructuring), Sale or disposal of unit(s) or division(s) or subsidiary of the Company or any other restructuring:</w:t>
            </w:r>
          </w:p>
          <w:p w14:paraId="2044DFEC" w14:textId="77777777" w:rsidR="00122173" w:rsidRPr="005A6988" w:rsidRDefault="00122173" w:rsidP="00C02B35">
            <w:pPr>
              <w:pStyle w:val="BodyText"/>
              <w:ind w:right="476"/>
              <w:jc w:val="both"/>
              <w:rPr>
                <w:rFonts w:ascii="Cambria" w:hAnsi="Cambria"/>
                <w:sz w:val="22"/>
                <w:szCs w:val="22"/>
              </w:rPr>
            </w:pPr>
          </w:p>
          <w:p w14:paraId="0D4F1EB4" w14:textId="77777777" w:rsidR="00122173" w:rsidRPr="005A6988" w:rsidRDefault="00122173" w:rsidP="00122173">
            <w:pPr>
              <w:pStyle w:val="BodyText"/>
              <w:ind w:right="476"/>
              <w:jc w:val="both"/>
              <w:rPr>
                <w:rFonts w:ascii="Cambria" w:hAnsi="Cambria"/>
                <w:sz w:val="22"/>
                <w:szCs w:val="22"/>
              </w:rPr>
            </w:pPr>
            <w:r w:rsidRPr="005A6988">
              <w:rPr>
                <w:rFonts w:ascii="Cambria" w:hAnsi="Cambria"/>
                <w:sz w:val="22"/>
                <w:szCs w:val="22"/>
              </w:rPr>
              <w:t>Explanation - 'Acquisition' shall mean, -</w:t>
            </w:r>
          </w:p>
          <w:p w14:paraId="2F599B2F" w14:textId="77777777" w:rsidR="00122173" w:rsidRPr="005A6988" w:rsidRDefault="00122173" w:rsidP="00122173">
            <w:pPr>
              <w:pStyle w:val="BodyText"/>
              <w:ind w:right="476"/>
              <w:jc w:val="both"/>
              <w:rPr>
                <w:rFonts w:ascii="Cambria" w:hAnsi="Cambria"/>
                <w:sz w:val="22"/>
                <w:szCs w:val="22"/>
              </w:rPr>
            </w:pPr>
          </w:p>
          <w:p w14:paraId="1BA331F8" w14:textId="77777777" w:rsidR="00122173" w:rsidRPr="005A6988" w:rsidRDefault="00122173" w:rsidP="00122173">
            <w:pPr>
              <w:pStyle w:val="BodyText"/>
              <w:ind w:right="476"/>
              <w:jc w:val="both"/>
              <w:rPr>
                <w:rFonts w:ascii="Cambria" w:hAnsi="Cambria"/>
                <w:sz w:val="22"/>
                <w:szCs w:val="22"/>
              </w:rPr>
            </w:pPr>
            <w:r w:rsidRPr="005A6988">
              <w:rPr>
                <w:rFonts w:ascii="Cambria" w:hAnsi="Cambria"/>
                <w:sz w:val="22"/>
                <w:szCs w:val="22"/>
              </w:rPr>
              <w:t>(</w:t>
            </w:r>
            <w:proofErr w:type="spellStart"/>
            <w:r w:rsidRPr="005A6988">
              <w:rPr>
                <w:rFonts w:ascii="Cambria" w:hAnsi="Cambria"/>
                <w:sz w:val="22"/>
                <w:szCs w:val="22"/>
              </w:rPr>
              <w:t>i</w:t>
            </w:r>
            <w:proofErr w:type="spellEnd"/>
            <w:r w:rsidRPr="005A6988">
              <w:rPr>
                <w:rFonts w:ascii="Cambria" w:hAnsi="Cambria"/>
                <w:sz w:val="22"/>
                <w:szCs w:val="22"/>
              </w:rPr>
              <w:t>) acquiring control, whether directly or indirectly; or,</w:t>
            </w:r>
          </w:p>
          <w:p w14:paraId="5EC0AD0A" w14:textId="77777777" w:rsidR="00122173" w:rsidRPr="005A6988" w:rsidRDefault="00122173" w:rsidP="00122173">
            <w:pPr>
              <w:pStyle w:val="BodyText"/>
              <w:ind w:right="476"/>
              <w:jc w:val="both"/>
              <w:rPr>
                <w:rFonts w:ascii="Cambria" w:hAnsi="Cambria"/>
                <w:sz w:val="22"/>
                <w:szCs w:val="22"/>
              </w:rPr>
            </w:pPr>
            <w:r w:rsidRPr="005A6988">
              <w:rPr>
                <w:rFonts w:ascii="Cambria" w:hAnsi="Cambria"/>
                <w:sz w:val="22"/>
                <w:szCs w:val="22"/>
              </w:rPr>
              <w:t>(ii) acquiring or agreeing to acquire shares or voting rights in, a company, whether directly or indirectly, such that -</w:t>
            </w:r>
          </w:p>
          <w:p w14:paraId="20BB5072" w14:textId="77777777" w:rsidR="004A3728" w:rsidRPr="005A6988" w:rsidRDefault="004A3728" w:rsidP="00122173">
            <w:pPr>
              <w:pStyle w:val="BodyText"/>
              <w:ind w:right="476"/>
              <w:jc w:val="both"/>
              <w:rPr>
                <w:rFonts w:ascii="Cambria" w:hAnsi="Cambria"/>
                <w:sz w:val="22"/>
                <w:szCs w:val="22"/>
              </w:rPr>
            </w:pPr>
          </w:p>
          <w:p w14:paraId="4D09E9E6" w14:textId="77777777" w:rsidR="00122173" w:rsidRPr="005A6988" w:rsidRDefault="00122173" w:rsidP="003A371E">
            <w:pPr>
              <w:pStyle w:val="BodyText"/>
              <w:numPr>
                <w:ilvl w:val="0"/>
                <w:numId w:val="13"/>
              </w:numPr>
              <w:ind w:left="459" w:right="476"/>
              <w:jc w:val="both"/>
              <w:rPr>
                <w:rFonts w:ascii="Cambria" w:hAnsi="Cambria"/>
                <w:sz w:val="22"/>
                <w:szCs w:val="22"/>
              </w:rPr>
            </w:pPr>
            <w:r w:rsidRPr="005A6988">
              <w:rPr>
                <w:rFonts w:ascii="Cambria" w:hAnsi="Cambria"/>
                <w:sz w:val="22"/>
                <w:szCs w:val="22"/>
              </w:rPr>
              <w:t>the Company holds shares or voting rights aggregating to five per cent or more of the shares or voting rights in the said company, or;</w:t>
            </w:r>
          </w:p>
          <w:p w14:paraId="5545B46D" w14:textId="77777777" w:rsidR="004653B2" w:rsidRDefault="00122173" w:rsidP="003A371E">
            <w:pPr>
              <w:pStyle w:val="BodyText"/>
              <w:numPr>
                <w:ilvl w:val="0"/>
                <w:numId w:val="13"/>
              </w:numPr>
              <w:ind w:left="459" w:right="476"/>
              <w:jc w:val="both"/>
              <w:rPr>
                <w:rFonts w:ascii="Cambria" w:hAnsi="Cambria"/>
                <w:sz w:val="22"/>
                <w:szCs w:val="22"/>
              </w:rPr>
            </w:pPr>
            <w:proofErr w:type="gramStart"/>
            <w:r w:rsidRPr="005A6988">
              <w:rPr>
                <w:rFonts w:ascii="Cambria" w:hAnsi="Cambria"/>
                <w:sz w:val="22"/>
                <w:szCs w:val="22"/>
              </w:rPr>
              <w:t>there</w:t>
            </w:r>
            <w:proofErr w:type="gramEnd"/>
            <w:r w:rsidRPr="005A6988">
              <w:rPr>
                <w:rFonts w:ascii="Cambria" w:hAnsi="Cambria"/>
                <w:sz w:val="22"/>
                <w:szCs w:val="22"/>
              </w:rPr>
              <w:t xml:space="preserve"> has been a change in holding from the last disclosure and such change exceeds two per cent of the total shareholding or voting rights in the said company.</w:t>
            </w:r>
          </w:p>
          <w:p w14:paraId="105EF725" w14:textId="77777777" w:rsidR="003A371E" w:rsidRPr="005A6988" w:rsidRDefault="003A371E" w:rsidP="003A371E">
            <w:pPr>
              <w:pStyle w:val="BodyText"/>
              <w:ind w:left="459" w:right="476"/>
              <w:jc w:val="both"/>
              <w:rPr>
                <w:rFonts w:ascii="Cambria" w:hAnsi="Cambria"/>
                <w:sz w:val="22"/>
                <w:szCs w:val="22"/>
              </w:rPr>
            </w:pPr>
          </w:p>
        </w:tc>
      </w:tr>
      <w:tr w:rsidR="004653B2" w:rsidRPr="005A6988" w14:paraId="6C6683D8" w14:textId="77777777" w:rsidTr="00122173">
        <w:tc>
          <w:tcPr>
            <w:tcW w:w="1144" w:type="dxa"/>
          </w:tcPr>
          <w:p w14:paraId="6967B614" w14:textId="77777777" w:rsidR="004653B2" w:rsidRPr="005A6988" w:rsidRDefault="00474659" w:rsidP="003824AB">
            <w:pPr>
              <w:pStyle w:val="BodyText"/>
              <w:ind w:right="476"/>
              <w:jc w:val="center"/>
              <w:rPr>
                <w:rFonts w:ascii="Cambria" w:hAnsi="Cambria"/>
                <w:sz w:val="22"/>
                <w:szCs w:val="22"/>
              </w:rPr>
            </w:pPr>
            <w:r w:rsidRPr="005A6988">
              <w:rPr>
                <w:rFonts w:ascii="Cambria" w:hAnsi="Cambria"/>
                <w:sz w:val="22"/>
                <w:szCs w:val="22"/>
              </w:rPr>
              <w:t>2</w:t>
            </w:r>
          </w:p>
        </w:tc>
        <w:tc>
          <w:tcPr>
            <w:tcW w:w="8972" w:type="dxa"/>
          </w:tcPr>
          <w:p w14:paraId="6E27A411" w14:textId="77777777" w:rsidR="004653B2" w:rsidRDefault="00474659" w:rsidP="00C02B35">
            <w:pPr>
              <w:pStyle w:val="BodyText"/>
              <w:ind w:right="476"/>
              <w:jc w:val="both"/>
              <w:rPr>
                <w:rFonts w:ascii="Cambria" w:hAnsi="Cambria"/>
                <w:sz w:val="22"/>
                <w:szCs w:val="22"/>
              </w:rPr>
            </w:pPr>
            <w:r w:rsidRPr="005A6988">
              <w:rPr>
                <w:rFonts w:ascii="Cambria" w:hAnsi="Cambria"/>
                <w:sz w:val="22"/>
                <w:szCs w:val="22"/>
              </w:rPr>
              <w:t>Issuance or forfeiture of securities, split or consolidation of shares, buyback of securities, Any restriction on transferability of securities, any action, which will result in alteration of the terms or structure of any existing securities, including, forfeiture, reissue of forfeited securities, alteration of calls, redemption of securities, etc.</w:t>
            </w:r>
          </w:p>
          <w:p w14:paraId="4AC1159A" w14:textId="77777777" w:rsidR="003A371E" w:rsidRPr="005A6988" w:rsidRDefault="003A371E" w:rsidP="00C02B35">
            <w:pPr>
              <w:pStyle w:val="BodyText"/>
              <w:ind w:right="476"/>
              <w:jc w:val="both"/>
              <w:rPr>
                <w:rFonts w:ascii="Cambria" w:hAnsi="Cambria"/>
                <w:sz w:val="22"/>
                <w:szCs w:val="22"/>
              </w:rPr>
            </w:pPr>
          </w:p>
        </w:tc>
      </w:tr>
      <w:tr w:rsidR="004653B2" w:rsidRPr="005A6988" w14:paraId="4DE04FEC" w14:textId="77777777" w:rsidTr="00122173">
        <w:tc>
          <w:tcPr>
            <w:tcW w:w="1144" w:type="dxa"/>
          </w:tcPr>
          <w:p w14:paraId="33DCD993" w14:textId="77777777" w:rsidR="004653B2" w:rsidRPr="005A6988" w:rsidRDefault="00474659" w:rsidP="003824AB">
            <w:pPr>
              <w:pStyle w:val="BodyText"/>
              <w:ind w:right="476"/>
              <w:jc w:val="center"/>
              <w:rPr>
                <w:rFonts w:ascii="Cambria" w:hAnsi="Cambria"/>
                <w:sz w:val="22"/>
                <w:szCs w:val="22"/>
              </w:rPr>
            </w:pPr>
            <w:r w:rsidRPr="005A6988">
              <w:rPr>
                <w:rFonts w:ascii="Cambria" w:hAnsi="Cambria"/>
                <w:sz w:val="22"/>
                <w:szCs w:val="22"/>
              </w:rPr>
              <w:t>3</w:t>
            </w:r>
          </w:p>
        </w:tc>
        <w:tc>
          <w:tcPr>
            <w:tcW w:w="8972" w:type="dxa"/>
          </w:tcPr>
          <w:p w14:paraId="01CE24A7" w14:textId="77777777" w:rsidR="004653B2" w:rsidRDefault="00474659" w:rsidP="00C02B35">
            <w:pPr>
              <w:pStyle w:val="BodyText"/>
              <w:ind w:right="476"/>
              <w:jc w:val="both"/>
              <w:rPr>
                <w:rFonts w:ascii="Cambria" w:hAnsi="Cambria"/>
                <w:sz w:val="22"/>
                <w:szCs w:val="22"/>
              </w:rPr>
            </w:pPr>
            <w:r w:rsidRPr="005A6988">
              <w:rPr>
                <w:rFonts w:ascii="Cambria" w:hAnsi="Cambria"/>
                <w:sz w:val="22"/>
                <w:szCs w:val="22"/>
              </w:rPr>
              <w:t>Revision in Rating(s).</w:t>
            </w:r>
          </w:p>
          <w:p w14:paraId="3A93A9A7" w14:textId="77777777" w:rsidR="003A371E" w:rsidRPr="005A6988" w:rsidRDefault="003A371E" w:rsidP="00C02B35">
            <w:pPr>
              <w:pStyle w:val="BodyText"/>
              <w:ind w:right="476"/>
              <w:jc w:val="both"/>
              <w:rPr>
                <w:rFonts w:ascii="Cambria" w:hAnsi="Cambria"/>
                <w:sz w:val="22"/>
                <w:szCs w:val="22"/>
              </w:rPr>
            </w:pPr>
          </w:p>
        </w:tc>
      </w:tr>
      <w:tr w:rsidR="004653B2" w:rsidRPr="005A6988" w14:paraId="4E9E9521" w14:textId="77777777" w:rsidTr="00122173">
        <w:tc>
          <w:tcPr>
            <w:tcW w:w="1144" w:type="dxa"/>
          </w:tcPr>
          <w:p w14:paraId="3166EBEC" w14:textId="77777777" w:rsidR="004653B2" w:rsidRPr="005A6988" w:rsidRDefault="00474659" w:rsidP="003824AB">
            <w:pPr>
              <w:pStyle w:val="BodyText"/>
              <w:ind w:right="476"/>
              <w:jc w:val="center"/>
              <w:rPr>
                <w:rFonts w:ascii="Cambria" w:hAnsi="Cambria"/>
                <w:sz w:val="22"/>
                <w:szCs w:val="22"/>
              </w:rPr>
            </w:pPr>
            <w:r w:rsidRPr="005A6988">
              <w:rPr>
                <w:rFonts w:ascii="Cambria" w:hAnsi="Cambria"/>
                <w:sz w:val="22"/>
                <w:szCs w:val="22"/>
              </w:rPr>
              <w:t>4</w:t>
            </w:r>
          </w:p>
        </w:tc>
        <w:tc>
          <w:tcPr>
            <w:tcW w:w="8972" w:type="dxa"/>
          </w:tcPr>
          <w:p w14:paraId="547598BF" w14:textId="77777777" w:rsidR="004653B2" w:rsidRPr="005A6988" w:rsidRDefault="00474659" w:rsidP="00C02B35">
            <w:pPr>
              <w:pStyle w:val="BodyText"/>
              <w:ind w:right="476"/>
              <w:jc w:val="both"/>
              <w:rPr>
                <w:rFonts w:ascii="Cambria" w:hAnsi="Cambria"/>
                <w:sz w:val="22"/>
                <w:szCs w:val="22"/>
              </w:rPr>
            </w:pPr>
            <w:r w:rsidRPr="005A6988">
              <w:rPr>
                <w:rFonts w:ascii="Cambria" w:hAnsi="Cambria"/>
                <w:sz w:val="22"/>
                <w:szCs w:val="22"/>
              </w:rPr>
              <w:t>Outcome of meetings of the Board within 30 minutes of the closure of the meeting held to consider the following:</w:t>
            </w:r>
          </w:p>
          <w:p w14:paraId="3E71B353" w14:textId="77777777" w:rsidR="00474659" w:rsidRPr="005A6988" w:rsidRDefault="00474659" w:rsidP="00C02B35">
            <w:pPr>
              <w:pStyle w:val="BodyText"/>
              <w:ind w:right="476"/>
              <w:jc w:val="both"/>
              <w:rPr>
                <w:rFonts w:ascii="Cambria" w:hAnsi="Cambria"/>
                <w:sz w:val="22"/>
                <w:szCs w:val="22"/>
              </w:rPr>
            </w:pPr>
          </w:p>
          <w:p w14:paraId="2AF94C1F" w14:textId="77777777" w:rsidR="00474659" w:rsidRPr="005A6988" w:rsidRDefault="00474659" w:rsidP="00474659">
            <w:pPr>
              <w:pStyle w:val="BodyText"/>
              <w:numPr>
                <w:ilvl w:val="0"/>
                <w:numId w:val="9"/>
              </w:numPr>
              <w:ind w:right="476"/>
              <w:jc w:val="both"/>
              <w:rPr>
                <w:rFonts w:ascii="Cambria" w:hAnsi="Cambria" w:cs="Arial"/>
                <w:sz w:val="22"/>
                <w:szCs w:val="22"/>
              </w:rPr>
            </w:pPr>
            <w:r w:rsidRPr="005A6988">
              <w:rPr>
                <w:rFonts w:ascii="Cambria" w:hAnsi="Cambria" w:cs="Arial"/>
                <w:sz w:val="22"/>
                <w:szCs w:val="22"/>
              </w:rPr>
              <w:t>dividends and/or cash bonuses recommended or declared or the decision to pass any dividend and the date on which dividend shall be paid/dispatched;</w:t>
            </w:r>
          </w:p>
          <w:p w14:paraId="38EA1A5A" w14:textId="77777777" w:rsidR="00474659" w:rsidRPr="005A6988" w:rsidRDefault="00474659" w:rsidP="00474659">
            <w:pPr>
              <w:pStyle w:val="BodyText"/>
              <w:numPr>
                <w:ilvl w:val="0"/>
                <w:numId w:val="9"/>
              </w:numPr>
              <w:ind w:right="476"/>
              <w:jc w:val="both"/>
              <w:rPr>
                <w:rFonts w:ascii="Cambria" w:hAnsi="Cambria" w:cs="Arial"/>
                <w:sz w:val="22"/>
                <w:szCs w:val="22"/>
              </w:rPr>
            </w:pPr>
            <w:r w:rsidRPr="005A6988">
              <w:rPr>
                <w:rFonts w:ascii="Cambria" w:hAnsi="Cambria" w:cs="Arial"/>
                <w:sz w:val="22"/>
                <w:szCs w:val="22"/>
              </w:rPr>
              <w:t>any cancellation of dividend with reasons thereof;</w:t>
            </w:r>
          </w:p>
          <w:p w14:paraId="0801C76A" w14:textId="77777777" w:rsidR="00474659" w:rsidRPr="005A6988" w:rsidRDefault="00474659" w:rsidP="00474659">
            <w:pPr>
              <w:pStyle w:val="BodyText"/>
              <w:numPr>
                <w:ilvl w:val="0"/>
                <w:numId w:val="9"/>
              </w:numPr>
              <w:ind w:right="476"/>
              <w:jc w:val="both"/>
              <w:rPr>
                <w:rFonts w:ascii="Cambria" w:hAnsi="Cambria" w:cs="Arial"/>
                <w:sz w:val="22"/>
                <w:szCs w:val="22"/>
              </w:rPr>
            </w:pPr>
            <w:r w:rsidRPr="005A6988">
              <w:rPr>
                <w:rFonts w:ascii="Cambria" w:hAnsi="Cambria" w:cs="Arial"/>
                <w:sz w:val="22"/>
                <w:szCs w:val="22"/>
              </w:rPr>
              <w:t>the decision on buyback of securities;</w:t>
            </w:r>
          </w:p>
          <w:p w14:paraId="474BE362" w14:textId="77777777" w:rsidR="00474659" w:rsidRPr="005A6988" w:rsidRDefault="00474659" w:rsidP="00474659">
            <w:pPr>
              <w:pStyle w:val="BodyText"/>
              <w:numPr>
                <w:ilvl w:val="0"/>
                <w:numId w:val="9"/>
              </w:numPr>
              <w:ind w:right="476"/>
              <w:jc w:val="both"/>
              <w:rPr>
                <w:rFonts w:ascii="Cambria" w:hAnsi="Cambria" w:cs="Arial"/>
                <w:sz w:val="22"/>
                <w:szCs w:val="22"/>
              </w:rPr>
            </w:pPr>
            <w:r w:rsidRPr="005A6988">
              <w:rPr>
                <w:rFonts w:ascii="Cambria" w:hAnsi="Cambria" w:cs="Arial"/>
                <w:sz w:val="22"/>
                <w:szCs w:val="22"/>
              </w:rPr>
              <w:t xml:space="preserve">the decision with respect to fund raising proposed to be undertaken; </w:t>
            </w:r>
          </w:p>
          <w:p w14:paraId="455EF115" w14:textId="77777777" w:rsidR="00474659" w:rsidRPr="005A6988" w:rsidRDefault="00474659" w:rsidP="00474659">
            <w:pPr>
              <w:pStyle w:val="BodyText"/>
              <w:numPr>
                <w:ilvl w:val="0"/>
                <w:numId w:val="9"/>
              </w:numPr>
              <w:ind w:right="476"/>
              <w:jc w:val="both"/>
              <w:rPr>
                <w:rFonts w:ascii="Cambria" w:hAnsi="Cambria" w:cs="Arial"/>
                <w:sz w:val="22"/>
                <w:szCs w:val="22"/>
              </w:rPr>
            </w:pPr>
            <w:r w:rsidRPr="005A6988">
              <w:rPr>
                <w:rFonts w:ascii="Cambria" w:hAnsi="Cambria" w:cs="Arial"/>
                <w:sz w:val="22"/>
                <w:szCs w:val="22"/>
              </w:rPr>
              <w:t>increase in capital by issue of bonus shares through capitalization including the date on which such bonus shares would be credited/dispatched;</w:t>
            </w:r>
          </w:p>
          <w:p w14:paraId="66537B3B" w14:textId="77777777" w:rsidR="00474659" w:rsidRPr="005A6988" w:rsidRDefault="00474659" w:rsidP="00474659">
            <w:pPr>
              <w:pStyle w:val="BodyText"/>
              <w:numPr>
                <w:ilvl w:val="0"/>
                <w:numId w:val="9"/>
              </w:numPr>
              <w:ind w:right="476"/>
              <w:jc w:val="both"/>
              <w:rPr>
                <w:rFonts w:ascii="Cambria" w:hAnsi="Cambria" w:cs="Arial"/>
                <w:sz w:val="22"/>
                <w:szCs w:val="22"/>
              </w:rPr>
            </w:pPr>
            <w:r w:rsidRPr="005A6988">
              <w:rPr>
                <w:rFonts w:ascii="Cambria" w:hAnsi="Cambria" w:cs="Arial"/>
                <w:sz w:val="22"/>
                <w:szCs w:val="22"/>
              </w:rPr>
              <w:t>reissue of forfeited shares or securities, or the issue of shares or securities held in reserve for future issue or the creation in any form or manner of new shares or securities or any other rights, privileges or benefits to subscribe to;</w:t>
            </w:r>
          </w:p>
          <w:p w14:paraId="2BAB8703" w14:textId="77777777" w:rsidR="00474659" w:rsidRPr="005A6988" w:rsidRDefault="00474659" w:rsidP="00474659">
            <w:pPr>
              <w:pStyle w:val="BodyText"/>
              <w:numPr>
                <w:ilvl w:val="0"/>
                <w:numId w:val="9"/>
              </w:numPr>
              <w:ind w:right="476"/>
              <w:jc w:val="both"/>
              <w:rPr>
                <w:rFonts w:ascii="Cambria" w:hAnsi="Cambria" w:cs="Arial"/>
                <w:sz w:val="22"/>
                <w:szCs w:val="22"/>
              </w:rPr>
            </w:pPr>
            <w:r w:rsidRPr="005A6988">
              <w:rPr>
                <w:rFonts w:ascii="Cambria" w:hAnsi="Cambria" w:cs="Arial"/>
                <w:sz w:val="22"/>
                <w:szCs w:val="22"/>
              </w:rPr>
              <w:t>short particulars of any other alterations of capital, including calls;</w:t>
            </w:r>
          </w:p>
          <w:p w14:paraId="6E674C3D" w14:textId="77777777" w:rsidR="00474659" w:rsidRPr="005A6988" w:rsidRDefault="00474659" w:rsidP="00474659">
            <w:pPr>
              <w:pStyle w:val="BodyText"/>
              <w:numPr>
                <w:ilvl w:val="0"/>
                <w:numId w:val="9"/>
              </w:numPr>
              <w:ind w:right="476"/>
              <w:jc w:val="both"/>
              <w:rPr>
                <w:rFonts w:ascii="Cambria" w:hAnsi="Cambria" w:cs="Arial"/>
                <w:sz w:val="22"/>
                <w:szCs w:val="22"/>
              </w:rPr>
            </w:pPr>
            <w:r w:rsidRPr="005A6988">
              <w:rPr>
                <w:rFonts w:ascii="Cambria" w:hAnsi="Cambria" w:cs="Arial"/>
                <w:sz w:val="22"/>
                <w:szCs w:val="22"/>
              </w:rPr>
              <w:t>financial results;</w:t>
            </w:r>
          </w:p>
          <w:p w14:paraId="0BE4AB50" w14:textId="77777777" w:rsidR="00474659" w:rsidRPr="005A6988" w:rsidRDefault="00474659" w:rsidP="00474659">
            <w:pPr>
              <w:pStyle w:val="BodyText"/>
              <w:numPr>
                <w:ilvl w:val="0"/>
                <w:numId w:val="9"/>
              </w:numPr>
              <w:ind w:right="476"/>
              <w:jc w:val="both"/>
              <w:rPr>
                <w:rFonts w:ascii="Cambria" w:hAnsi="Cambria"/>
                <w:sz w:val="22"/>
                <w:szCs w:val="22"/>
              </w:rPr>
            </w:pPr>
            <w:r w:rsidRPr="005A6988">
              <w:rPr>
                <w:rFonts w:ascii="Cambria" w:hAnsi="Cambria" w:cs="Arial"/>
                <w:sz w:val="22"/>
                <w:szCs w:val="22"/>
              </w:rPr>
              <w:t>decision on voluntary delisting by from stock exchange(s);</w:t>
            </w:r>
          </w:p>
          <w:p w14:paraId="11A6FF58" w14:textId="77777777" w:rsidR="00474659" w:rsidRPr="005A6988" w:rsidRDefault="00474659" w:rsidP="00C02B35">
            <w:pPr>
              <w:pStyle w:val="BodyText"/>
              <w:ind w:right="476"/>
              <w:jc w:val="both"/>
              <w:rPr>
                <w:rFonts w:ascii="Cambria" w:hAnsi="Cambria"/>
                <w:sz w:val="22"/>
                <w:szCs w:val="22"/>
              </w:rPr>
            </w:pPr>
          </w:p>
        </w:tc>
      </w:tr>
      <w:tr w:rsidR="004653B2" w:rsidRPr="005A6988" w14:paraId="66B25391" w14:textId="77777777" w:rsidTr="00122173">
        <w:tc>
          <w:tcPr>
            <w:tcW w:w="1144" w:type="dxa"/>
          </w:tcPr>
          <w:p w14:paraId="34CBFBBD" w14:textId="77777777" w:rsidR="004653B2" w:rsidRPr="005A6988" w:rsidRDefault="003824AB" w:rsidP="003824AB">
            <w:pPr>
              <w:pStyle w:val="BodyText"/>
              <w:ind w:right="476"/>
              <w:jc w:val="center"/>
              <w:rPr>
                <w:rFonts w:ascii="Cambria" w:hAnsi="Cambria"/>
                <w:sz w:val="22"/>
                <w:szCs w:val="22"/>
              </w:rPr>
            </w:pPr>
            <w:r w:rsidRPr="005A6988">
              <w:rPr>
                <w:rFonts w:ascii="Cambria" w:hAnsi="Cambria"/>
                <w:sz w:val="22"/>
                <w:szCs w:val="22"/>
              </w:rPr>
              <w:t>5</w:t>
            </w:r>
          </w:p>
        </w:tc>
        <w:tc>
          <w:tcPr>
            <w:tcW w:w="8972" w:type="dxa"/>
          </w:tcPr>
          <w:p w14:paraId="5C60D38A" w14:textId="77777777" w:rsidR="004653B2" w:rsidRDefault="003824AB" w:rsidP="00C02B35">
            <w:pPr>
              <w:pStyle w:val="BodyText"/>
              <w:ind w:right="476"/>
              <w:jc w:val="both"/>
              <w:rPr>
                <w:rFonts w:ascii="Cambria" w:hAnsi="Cambria"/>
                <w:sz w:val="22"/>
                <w:szCs w:val="22"/>
              </w:rPr>
            </w:pPr>
            <w:r w:rsidRPr="005A6988">
              <w:rPr>
                <w:rFonts w:ascii="Cambria" w:hAnsi="Cambria"/>
                <w:sz w:val="22"/>
                <w:szCs w:val="22"/>
              </w:rPr>
              <w:t>Agreements (viz. shareholder agreement(s), joint venture agreement(s), family settlement agreement(s) (to the extent that it impacts management and control of the Company), agreement(s)/treaty (</w:t>
            </w:r>
            <w:proofErr w:type="spellStart"/>
            <w:r w:rsidRPr="005A6988">
              <w:rPr>
                <w:rFonts w:ascii="Cambria" w:hAnsi="Cambria"/>
                <w:sz w:val="22"/>
                <w:szCs w:val="22"/>
              </w:rPr>
              <w:t>ies</w:t>
            </w:r>
            <w:proofErr w:type="spellEnd"/>
            <w:r w:rsidRPr="005A6988">
              <w:rPr>
                <w:rFonts w:ascii="Cambria" w:hAnsi="Cambria"/>
                <w:sz w:val="22"/>
                <w:szCs w:val="22"/>
              </w:rPr>
              <w:t>)/contract(s) with media companies) which are binding and not in normal course of business, revision(s) or amendment(s) and termination(s) thereof.</w:t>
            </w:r>
          </w:p>
          <w:p w14:paraId="108558F4" w14:textId="77777777" w:rsidR="003A371E" w:rsidRPr="005A6988" w:rsidRDefault="003A371E" w:rsidP="00C02B35">
            <w:pPr>
              <w:pStyle w:val="BodyText"/>
              <w:ind w:right="476"/>
              <w:jc w:val="both"/>
              <w:rPr>
                <w:rFonts w:ascii="Cambria" w:hAnsi="Cambria"/>
                <w:sz w:val="22"/>
                <w:szCs w:val="22"/>
              </w:rPr>
            </w:pPr>
          </w:p>
        </w:tc>
      </w:tr>
      <w:tr w:rsidR="003824AB" w:rsidRPr="005A6988" w14:paraId="53EF727E" w14:textId="77777777" w:rsidTr="00122173">
        <w:tc>
          <w:tcPr>
            <w:tcW w:w="1144" w:type="dxa"/>
          </w:tcPr>
          <w:p w14:paraId="623CD417" w14:textId="77777777" w:rsidR="003824AB" w:rsidRPr="005A6988" w:rsidRDefault="003824AB" w:rsidP="003824AB">
            <w:pPr>
              <w:pStyle w:val="BodyText"/>
              <w:ind w:right="476"/>
              <w:jc w:val="center"/>
              <w:rPr>
                <w:rFonts w:ascii="Cambria" w:hAnsi="Cambria"/>
                <w:sz w:val="22"/>
                <w:szCs w:val="22"/>
              </w:rPr>
            </w:pPr>
            <w:r w:rsidRPr="005A6988">
              <w:rPr>
                <w:rFonts w:ascii="Cambria" w:hAnsi="Cambria"/>
                <w:sz w:val="22"/>
                <w:szCs w:val="22"/>
              </w:rPr>
              <w:t>6</w:t>
            </w:r>
          </w:p>
        </w:tc>
        <w:tc>
          <w:tcPr>
            <w:tcW w:w="8972" w:type="dxa"/>
          </w:tcPr>
          <w:p w14:paraId="52A15E35" w14:textId="77777777" w:rsidR="003824AB" w:rsidRPr="005A6988" w:rsidRDefault="003824AB" w:rsidP="00C02B35">
            <w:pPr>
              <w:pStyle w:val="BodyText"/>
              <w:ind w:right="476"/>
              <w:jc w:val="both"/>
              <w:rPr>
                <w:rFonts w:ascii="Cambria" w:hAnsi="Cambria"/>
                <w:sz w:val="22"/>
                <w:szCs w:val="22"/>
              </w:rPr>
            </w:pPr>
            <w:r w:rsidRPr="005A6988">
              <w:rPr>
                <w:rFonts w:ascii="Cambria" w:hAnsi="Cambria"/>
                <w:sz w:val="22"/>
                <w:szCs w:val="22"/>
              </w:rPr>
              <w:t xml:space="preserve">Fraud/Defaults by promoter or key managerial personnel or by the Company or arrest of key managerial personnel or promoter: </w:t>
            </w:r>
          </w:p>
          <w:p w14:paraId="13A7E7A8" w14:textId="77777777" w:rsidR="003824AB" w:rsidRPr="005A6988" w:rsidRDefault="003824AB" w:rsidP="003824AB">
            <w:pPr>
              <w:pStyle w:val="BodyText"/>
              <w:numPr>
                <w:ilvl w:val="0"/>
                <w:numId w:val="14"/>
              </w:numPr>
              <w:ind w:right="476"/>
              <w:jc w:val="both"/>
              <w:rPr>
                <w:rFonts w:ascii="Cambria" w:hAnsi="Cambria"/>
                <w:sz w:val="22"/>
                <w:szCs w:val="22"/>
              </w:rPr>
            </w:pPr>
            <w:r w:rsidRPr="005A6988">
              <w:rPr>
                <w:rFonts w:ascii="Cambria" w:hAnsi="Cambria"/>
                <w:sz w:val="22"/>
                <w:szCs w:val="22"/>
              </w:rPr>
              <w:t>At the time of unearthing of fraud or occurrence of the default / arrest</w:t>
            </w:r>
          </w:p>
          <w:p w14:paraId="09A029CF" w14:textId="77777777" w:rsidR="003824AB" w:rsidRDefault="003824AB" w:rsidP="003824AB">
            <w:pPr>
              <w:pStyle w:val="BodyText"/>
              <w:numPr>
                <w:ilvl w:val="0"/>
                <w:numId w:val="14"/>
              </w:numPr>
              <w:ind w:right="476"/>
              <w:jc w:val="both"/>
              <w:rPr>
                <w:rFonts w:ascii="Cambria" w:hAnsi="Cambria"/>
                <w:sz w:val="22"/>
                <w:szCs w:val="22"/>
              </w:rPr>
            </w:pPr>
            <w:r w:rsidRPr="005A6988">
              <w:rPr>
                <w:rFonts w:ascii="Cambria" w:hAnsi="Cambria"/>
                <w:sz w:val="22"/>
                <w:szCs w:val="22"/>
              </w:rPr>
              <w:t>Subsequently intimate the stock exchange(s) further details regarding the fraud/default/arrest</w:t>
            </w:r>
          </w:p>
          <w:p w14:paraId="2B6EC7B0" w14:textId="77777777" w:rsidR="003A371E" w:rsidRPr="005A6988" w:rsidRDefault="003A371E" w:rsidP="003A371E">
            <w:pPr>
              <w:pStyle w:val="BodyText"/>
              <w:ind w:left="720" w:right="476"/>
              <w:jc w:val="both"/>
              <w:rPr>
                <w:rFonts w:ascii="Cambria" w:hAnsi="Cambria"/>
                <w:sz w:val="22"/>
                <w:szCs w:val="22"/>
              </w:rPr>
            </w:pPr>
          </w:p>
        </w:tc>
      </w:tr>
      <w:tr w:rsidR="00B8524F" w:rsidRPr="005A6988" w14:paraId="38DEDA03" w14:textId="77777777" w:rsidTr="00122173">
        <w:tc>
          <w:tcPr>
            <w:tcW w:w="1144" w:type="dxa"/>
          </w:tcPr>
          <w:p w14:paraId="24083786" w14:textId="77777777" w:rsidR="00B8524F" w:rsidRPr="005A6988" w:rsidRDefault="00B8524F" w:rsidP="003824AB">
            <w:pPr>
              <w:pStyle w:val="BodyText"/>
              <w:ind w:right="476"/>
              <w:jc w:val="center"/>
              <w:rPr>
                <w:rFonts w:ascii="Cambria" w:hAnsi="Cambria"/>
                <w:sz w:val="22"/>
                <w:szCs w:val="22"/>
              </w:rPr>
            </w:pPr>
            <w:r w:rsidRPr="005A6988">
              <w:rPr>
                <w:rFonts w:ascii="Cambria" w:hAnsi="Cambria"/>
                <w:sz w:val="22"/>
                <w:szCs w:val="22"/>
              </w:rPr>
              <w:t>7</w:t>
            </w:r>
          </w:p>
        </w:tc>
        <w:tc>
          <w:tcPr>
            <w:tcW w:w="8972" w:type="dxa"/>
          </w:tcPr>
          <w:p w14:paraId="6070980E" w14:textId="77777777" w:rsidR="00B8524F" w:rsidRDefault="00B8524F" w:rsidP="00C02B35">
            <w:pPr>
              <w:pStyle w:val="BodyText"/>
              <w:ind w:right="476"/>
              <w:jc w:val="both"/>
              <w:rPr>
                <w:rFonts w:ascii="Cambria" w:hAnsi="Cambria"/>
                <w:sz w:val="22"/>
                <w:szCs w:val="22"/>
              </w:rPr>
            </w:pPr>
            <w:r w:rsidRPr="005A6988">
              <w:rPr>
                <w:rFonts w:ascii="Cambria" w:hAnsi="Cambria"/>
                <w:sz w:val="22"/>
                <w:szCs w:val="22"/>
              </w:rPr>
              <w:t>Change in directors, key managerial personnel (Managing Director, Chief Executive Officer, Chief Financial Officer, Company Secretary etc.), Auditor and Compliance Officer.</w:t>
            </w:r>
          </w:p>
          <w:p w14:paraId="6A46CACC" w14:textId="77777777" w:rsidR="003A371E" w:rsidRPr="005A6988" w:rsidRDefault="003A371E" w:rsidP="00C02B35">
            <w:pPr>
              <w:pStyle w:val="BodyText"/>
              <w:ind w:right="476"/>
              <w:jc w:val="both"/>
              <w:rPr>
                <w:rFonts w:ascii="Cambria" w:hAnsi="Cambria"/>
                <w:sz w:val="22"/>
                <w:szCs w:val="22"/>
              </w:rPr>
            </w:pPr>
          </w:p>
        </w:tc>
      </w:tr>
      <w:tr w:rsidR="003B4E2E" w:rsidRPr="005A6988" w14:paraId="39B489FE" w14:textId="77777777" w:rsidTr="00122173">
        <w:tc>
          <w:tcPr>
            <w:tcW w:w="1144" w:type="dxa"/>
          </w:tcPr>
          <w:p w14:paraId="585E8020" w14:textId="77777777" w:rsidR="003B4E2E" w:rsidRPr="005A6988" w:rsidRDefault="003B4E2E" w:rsidP="003824AB">
            <w:pPr>
              <w:pStyle w:val="BodyText"/>
              <w:ind w:right="476"/>
              <w:jc w:val="center"/>
              <w:rPr>
                <w:rFonts w:ascii="Cambria" w:hAnsi="Cambria"/>
                <w:sz w:val="22"/>
                <w:szCs w:val="22"/>
              </w:rPr>
            </w:pPr>
            <w:r w:rsidRPr="005A6988">
              <w:rPr>
                <w:rFonts w:ascii="Cambria" w:hAnsi="Cambria"/>
                <w:sz w:val="22"/>
                <w:szCs w:val="22"/>
              </w:rPr>
              <w:t>8</w:t>
            </w:r>
          </w:p>
        </w:tc>
        <w:tc>
          <w:tcPr>
            <w:tcW w:w="8972" w:type="dxa"/>
          </w:tcPr>
          <w:p w14:paraId="5A863138" w14:textId="77777777" w:rsidR="003B4E2E" w:rsidRDefault="003B4E2E" w:rsidP="00C02B35">
            <w:pPr>
              <w:pStyle w:val="BodyText"/>
              <w:ind w:right="476"/>
              <w:jc w:val="both"/>
              <w:rPr>
                <w:rFonts w:ascii="Cambria" w:hAnsi="Cambria"/>
                <w:sz w:val="22"/>
                <w:szCs w:val="22"/>
              </w:rPr>
            </w:pPr>
            <w:r w:rsidRPr="005A6988">
              <w:rPr>
                <w:rFonts w:ascii="Cambria" w:hAnsi="Cambria"/>
                <w:sz w:val="22"/>
                <w:szCs w:val="22"/>
              </w:rPr>
              <w:t>Appointment or discontinuation of share transfer agent.</w:t>
            </w:r>
          </w:p>
          <w:p w14:paraId="3C664010" w14:textId="77777777" w:rsidR="003A371E" w:rsidRPr="005A6988" w:rsidRDefault="003A371E" w:rsidP="00C02B35">
            <w:pPr>
              <w:pStyle w:val="BodyText"/>
              <w:ind w:right="476"/>
              <w:jc w:val="both"/>
              <w:rPr>
                <w:rFonts w:ascii="Cambria" w:hAnsi="Cambria"/>
                <w:sz w:val="22"/>
                <w:szCs w:val="22"/>
              </w:rPr>
            </w:pPr>
          </w:p>
        </w:tc>
      </w:tr>
      <w:tr w:rsidR="003B4E2E" w:rsidRPr="005A6988" w14:paraId="4C366DD8" w14:textId="77777777" w:rsidTr="00122173">
        <w:tc>
          <w:tcPr>
            <w:tcW w:w="1144" w:type="dxa"/>
          </w:tcPr>
          <w:p w14:paraId="5E1EA97E" w14:textId="77777777" w:rsidR="003B4E2E" w:rsidRPr="005A6988" w:rsidRDefault="003B4E2E" w:rsidP="003824AB">
            <w:pPr>
              <w:pStyle w:val="BodyText"/>
              <w:ind w:right="476"/>
              <w:jc w:val="center"/>
              <w:rPr>
                <w:rFonts w:ascii="Cambria" w:hAnsi="Cambria"/>
                <w:sz w:val="22"/>
                <w:szCs w:val="22"/>
              </w:rPr>
            </w:pPr>
            <w:r w:rsidRPr="005A6988">
              <w:rPr>
                <w:rFonts w:ascii="Cambria" w:hAnsi="Cambria"/>
                <w:sz w:val="22"/>
                <w:szCs w:val="22"/>
              </w:rPr>
              <w:t>9</w:t>
            </w:r>
          </w:p>
        </w:tc>
        <w:tc>
          <w:tcPr>
            <w:tcW w:w="8972" w:type="dxa"/>
          </w:tcPr>
          <w:p w14:paraId="4DCAF8C5" w14:textId="3C09602F" w:rsidR="003B4E2E" w:rsidRDefault="003B4E2E" w:rsidP="00C02B35">
            <w:pPr>
              <w:pStyle w:val="BodyText"/>
              <w:ind w:right="476"/>
              <w:jc w:val="both"/>
              <w:rPr>
                <w:rFonts w:ascii="Cambria" w:hAnsi="Cambria"/>
                <w:sz w:val="22"/>
                <w:szCs w:val="22"/>
              </w:rPr>
            </w:pPr>
            <w:r w:rsidRPr="005A6988">
              <w:rPr>
                <w:rFonts w:ascii="Cambria" w:hAnsi="Cambria"/>
                <w:sz w:val="22"/>
                <w:szCs w:val="22"/>
              </w:rPr>
              <w:t>Corpo</w:t>
            </w:r>
            <w:r w:rsidR="003A371E">
              <w:rPr>
                <w:rFonts w:ascii="Cambria" w:hAnsi="Cambria"/>
                <w:sz w:val="22"/>
                <w:szCs w:val="22"/>
              </w:rPr>
              <w:t>rate debt restructuring (“CDR”)</w:t>
            </w:r>
          </w:p>
          <w:p w14:paraId="595926E8" w14:textId="77777777" w:rsidR="003A371E" w:rsidRPr="005A6988" w:rsidRDefault="003A371E" w:rsidP="00C02B35">
            <w:pPr>
              <w:pStyle w:val="BodyText"/>
              <w:ind w:right="476"/>
              <w:jc w:val="both"/>
              <w:rPr>
                <w:rFonts w:ascii="Cambria" w:hAnsi="Cambria"/>
                <w:sz w:val="22"/>
                <w:szCs w:val="22"/>
              </w:rPr>
            </w:pPr>
          </w:p>
        </w:tc>
      </w:tr>
      <w:tr w:rsidR="003B4E2E" w:rsidRPr="005A6988" w14:paraId="351DC4DF" w14:textId="77777777" w:rsidTr="00122173">
        <w:tc>
          <w:tcPr>
            <w:tcW w:w="1144" w:type="dxa"/>
          </w:tcPr>
          <w:p w14:paraId="5F20CFF5" w14:textId="77777777" w:rsidR="003B4E2E" w:rsidRPr="005A6988" w:rsidRDefault="003B4E2E" w:rsidP="003824AB">
            <w:pPr>
              <w:pStyle w:val="BodyText"/>
              <w:ind w:right="476"/>
              <w:jc w:val="center"/>
              <w:rPr>
                <w:rFonts w:ascii="Cambria" w:hAnsi="Cambria"/>
                <w:sz w:val="22"/>
                <w:szCs w:val="22"/>
              </w:rPr>
            </w:pPr>
            <w:r w:rsidRPr="005A6988">
              <w:rPr>
                <w:rFonts w:ascii="Cambria" w:hAnsi="Cambria"/>
                <w:sz w:val="22"/>
                <w:szCs w:val="22"/>
              </w:rPr>
              <w:t>10</w:t>
            </w:r>
          </w:p>
        </w:tc>
        <w:tc>
          <w:tcPr>
            <w:tcW w:w="8972" w:type="dxa"/>
          </w:tcPr>
          <w:p w14:paraId="08D6D7B4" w14:textId="77777777" w:rsidR="003B4E2E" w:rsidRPr="005A6988" w:rsidRDefault="003B4E2E" w:rsidP="00C02B35">
            <w:pPr>
              <w:pStyle w:val="BodyText"/>
              <w:ind w:right="476"/>
              <w:jc w:val="both"/>
              <w:rPr>
                <w:rFonts w:ascii="Cambria" w:hAnsi="Cambria"/>
                <w:sz w:val="22"/>
                <w:szCs w:val="22"/>
              </w:rPr>
            </w:pPr>
            <w:r w:rsidRPr="005A6988">
              <w:rPr>
                <w:rFonts w:ascii="Cambria" w:hAnsi="Cambria"/>
                <w:sz w:val="22"/>
                <w:szCs w:val="22"/>
              </w:rPr>
              <w:t>One time settlement (OTS) with a Bank</w:t>
            </w:r>
          </w:p>
        </w:tc>
      </w:tr>
      <w:tr w:rsidR="003B4E2E" w:rsidRPr="005A6988" w14:paraId="43F50AD3" w14:textId="77777777" w:rsidTr="00122173">
        <w:tc>
          <w:tcPr>
            <w:tcW w:w="1144" w:type="dxa"/>
          </w:tcPr>
          <w:p w14:paraId="5216667E" w14:textId="77777777" w:rsidR="003B4E2E" w:rsidRPr="005A6988" w:rsidRDefault="003B4E2E" w:rsidP="003824AB">
            <w:pPr>
              <w:pStyle w:val="BodyText"/>
              <w:ind w:right="476"/>
              <w:jc w:val="center"/>
              <w:rPr>
                <w:rFonts w:ascii="Cambria" w:hAnsi="Cambria"/>
                <w:sz w:val="22"/>
                <w:szCs w:val="22"/>
              </w:rPr>
            </w:pPr>
            <w:r w:rsidRPr="005A6988">
              <w:rPr>
                <w:rFonts w:ascii="Cambria" w:hAnsi="Cambria"/>
                <w:sz w:val="22"/>
                <w:szCs w:val="22"/>
              </w:rPr>
              <w:t>11</w:t>
            </w:r>
          </w:p>
        </w:tc>
        <w:tc>
          <w:tcPr>
            <w:tcW w:w="8972" w:type="dxa"/>
          </w:tcPr>
          <w:p w14:paraId="11C0B63D" w14:textId="77777777" w:rsidR="003B4E2E" w:rsidRDefault="003B4E2E" w:rsidP="00C02B35">
            <w:pPr>
              <w:pStyle w:val="BodyText"/>
              <w:ind w:right="476"/>
              <w:jc w:val="both"/>
              <w:rPr>
                <w:rFonts w:ascii="Cambria" w:hAnsi="Cambria"/>
                <w:sz w:val="22"/>
                <w:szCs w:val="22"/>
              </w:rPr>
            </w:pPr>
            <w:r w:rsidRPr="005A6988">
              <w:rPr>
                <w:rFonts w:ascii="Cambria" w:hAnsi="Cambria"/>
                <w:sz w:val="22"/>
                <w:szCs w:val="22"/>
              </w:rPr>
              <w:t xml:space="preserve">Reference to BIFR and winding-up petition filed by any party / </w:t>
            </w:r>
            <w:r w:rsidR="003A371E">
              <w:rPr>
                <w:rFonts w:ascii="Cambria" w:hAnsi="Cambria"/>
                <w:sz w:val="22"/>
                <w:szCs w:val="22"/>
              </w:rPr>
              <w:t>creditors</w:t>
            </w:r>
          </w:p>
          <w:p w14:paraId="4066D48D" w14:textId="4EBBB2A1" w:rsidR="003A371E" w:rsidRPr="005A6988" w:rsidRDefault="003A371E" w:rsidP="00C02B35">
            <w:pPr>
              <w:pStyle w:val="BodyText"/>
              <w:ind w:right="476"/>
              <w:jc w:val="both"/>
              <w:rPr>
                <w:rFonts w:ascii="Cambria" w:hAnsi="Cambria"/>
                <w:sz w:val="22"/>
                <w:szCs w:val="22"/>
              </w:rPr>
            </w:pPr>
          </w:p>
        </w:tc>
      </w:tr>
      <w:tr w:rsidR="00611556" w:rsidRPr="005A6988" w14:paraId="1137E6C0" w14:textId="77777777" w:rsidTr="00122173">
        <w:tc>
          <w:tcPr>
            <w:tcW w:w="1144" w:type="dxa"/>
          </w:tcPr>
          <w:p w14:paraId="2AAD262F" w14:textId="291BFD48" w:rsidR="00611556" w:rsidRPr="005A6988" w:rsidRDefault="00611556" w:rsidP="003824AB">
            <w:pPr>
              <w:pStyle w:val="BodyText"/>
              <w:ind w:right="476"/>
              <w:jc w:val="center"/>
              <w:rPr>
                <w:rFonts w:ascii="Cambria" w:hAnsi="Cambria"/>
                <w:sz w:val="22"/>
                <w:szCs w:val="22"/>
              </w:rPr>
            </w:pPr>
            <w:r w:rsidRPr="005A6988">
              <w:rPr>
                <w:rFonts w:ascii="Cambria" w:hAnsi="Cambria"/>
                <w:sz w:val="22"/>
                <w:szCs w:val="22"/>
              </w:rPr>
              <w:t>12</w:t>
            </w:r>
          </w:p>
        </w:tc>
        <w:tc>
          <w:tcPr>
            <w:tcW w:w="8972" w:type="dxa"/>
          </w:tcPr>
          <w:p w14:paraId="24CCF1B4" w14:textId="77777777" w:rsidR="00611556" w:rsidRDefault="00611556" w:rsidP="00C02B35">
            <w:pPr>
              <w:pStyle w:val="BodyText"/>
              <w:ind w:right="476"/>
              <w:jc w:val="both"/>
              <w:rPr>
                <w:rFonts w:ascii="Cambria" w:hAnsi="Cambria"/>
                <w:sz w:val="22"/>
                <w:szCs w:val="22"/>
              </w:rPr>
            </w:pPr>
            <w:r w:rsidRPr="005A6988">
              <w:rPr>
                <w:rFonts w:ascii="Cambria" w:hAnsi="Cambria"/>
                <w:sz w:val="22"/>
                <w:szCs w:val="22"/>
              </w:rPr>
              <w:t>Issuance of notices, call letters, resolutions and circulars sent to shareholders, debenture holders or creditors or any class of them or adverti</w:t>
            </w:r>
            <w:r w:rsidR="003A371E">
              <w:rPr>
                <w:rFonts w:ascii="Cambria" w:hAnsi="Cambria"/>
                <w:sz w:val="22"/>
                <w:szCs w:val="22"/>
              </w:rPr>
              <w:t>sed in the media by the Company</w:t>
            </w:r>
          </w:p>
          <w:p w14:paraId="4F9E9145" w14:textId="31D072B2" w:rsidR="003A371E" w:rsidRPr="005A6988" w:rsidRDefault="003A371E" w:rsidP="00C02B35">
            <w:pPr>
              <w:pStyle w:val="BodyText"/>
              <w:ind w:right="476"/>
              <w:jc w:val="both"/>
              <w:rPr>
                <w:rFonts w:ascii="Cambria" w:hAnsi="Cambria"/>
                <w:sz w:val="22"/>
                <w:szCs w:val="22"/>
              </w:rPr>
            </w:pPr>
          </w:p>
        </w:tc>
      </w:tr>
      <w:tr w:rsidR="00611556" w:rsidRPr="005A6988" w14:paraId="1D06C90F" w14:textId="77777777" w:rsidTr="00122173">
        <w:tc>
          <w:tcPr>
            <w:tcW w:w="1144" w:type="dxa"/>
          </w:tcPr>
          <w:p w14:paraId="289C0FB2" w14:textId="65615477" w:rsidR="00611556" w:rsidRPr="005A6988" w:rsidRDefault="00611556" w:rsidP="003824AB">
            <w:pPr>
              <w:pStyle w:val="BodyText"/>
              <w:ind w:right="476"/>
              <w:jc w:val="center"/>
              <w:rPr>
                <w:rFonts w:ascii="Cambria" w:hAnsi="Cambria"/>
                <w:sz w:val="22"/>
                <w:szCs w:val="22"/>
              </w:rPr>
            </w:pPr>
            <w:r w:rsidRPr="005A6988">
              <w:rPr>
                <w:rFonts w:ascii="Cambria" w:hAnsi="Cambria"/>
                <w:sz w:val="22"/>
                <w:szCs w:val="22"/>
              </w:rPr>
              <w:t>13</w:t>
            </w:r>
          </w:p>
        </w:tc>
        <w:tc>
          <w:tcPr>
            <w:tcW w:w="8972" w:type="dxa"/>
          </w:tcPr>
          <w:p w14:paraId="252AB95E" w14:textId="77777777" w:rsidR="00611556" w:rsidRDefault="00611556" w:rsidP="00C02B35">
            <w:pPr>
              <w:pStyle w:val="BodyText"/>
              <w:ind w:right="476"/>
              <w:jc w:val="both"/>
              <w:rPr>
                <w:rFonts w:ascii="Cambria" w:hAnsi="Cambria"/>
                <w:sz w:val="22"/>
                <w:szCs w:val="22"/>
              </w:rPr>
            </w:pPr>
            <w:r w:rsidRPr="005A6988">
              <w:rPr>
                <w:rFonts w:ascii="Cambria" w:hAnsi="Cambria"/>
                <w:sz w:val="22"/>
                <w:szCs w:val="22"/>
              </w:rPr>
              <w:t xml:space="preserve">Proceedings of annual and </w:t>
            </w:r>
            <w:r w:rsidR="003A371E">
              <w:rPr>
                <w:rFonts w:ascii="Cambria" w:hAnsi="Cambria"/>
                <w:sz w:val="22"/>
                <w:szCs w:val="22"/>
              </w:rPr>
              <w:t>extraordinary general meetings</w:t>
            </w:r>
          </w:p>
          <w:p w14:paraId="0612DF22" w14:textId="61F23D68" w:rsidR="003A371E" w:rsidRPr="005A6988" w:rsidRDefault="003A371E" w:rsidP="00C02B35">
            <w:pPr>
              <w:pStyle w:val="BodyText"/>
              <w:ind w:right="476"/>
              <w:jc w:val="both"/>
              <w:rPr>
                <w:rFonts w:ascii="Cambria" w:hAnsi="Cambria"/>
                <w:sz w:val="22"/>
                <w:szCs w:val="22"/>
              </w:rPr>
            </w:pPr>
          </w:p>
        </w:tc>
      </w:tr>
      <w:tr w:rsidR="00611556" w:rsidRPr="005A6988" w14:paraId="23ACC621" w14:textId="77777777" w:rsidTr="00122173">
        <w:tc>
          <w:tcPr>
            <w:tcW w:w="1144" w:type="dxa"/>
          </w:tcPr>
          <w:p w14:paraId="285C16A6" w14:textId="731604EA" w:rsidR="00611556" w:rsidRPr="005A6988" w:rsidRDefault="00611556" w:rsidP="003824AB">
            <w:pPr>
              <w:pStyle w:val="BodyText"/>
              <w:ind w:right="476"/>
              <w:jc w:val="center"/>
              <w:rPr>
                <w:rFonts w:ascii="Cambria" w:hAnsi="Cambria"/>
                <w:sz w:val="22"/>
                <w:szCs w:val="22"/>
              </w:rPr>
            </w:pPr>
            <w:r w:rsidRPr="005A6988">
              <w:rPr>
                <w:rFonts w:ascii="Cambria" w:hAnsi="Cambria"/>
                <w:sz w:val="22"/>
                <w:szCs w:val="22"/>
              </w:rPr>
              <w:t>14</w:t>
            </w:r>
          </w:p>
        </w:tc>
        <w:tc>
          <w:tcPr>
            <w:tcW w:w="8972" w:type="dxa"/>
          </w:tcPr>
          <w:p w14:paraId="37905777" w14:textId="77777777" w:rsidR="00611556" w:rsidRDefault="00611556" w:rsidP="00C02B35">
            <w:pPr>
              <w:pStyle w:val="BodyText"/>
              <w:ind w:right="476"/>
              <w:jc w:val="both"/>
              <w:rPr>
                <w:rFonts w:ascii="Cambria" w:hAnsi="Cambria"/>
                <w:sz w:val="22"/>
                <w:szCs w:val="22"/>
              </w:rPr>
            </w:pPr>
            <w:r w:rsidRPr="005A6988">
              <w:rPr>
                <w:rFonts w:ascii="Cambria" w:hAnsi="Cambria"/>
                <w:sz w:val="22"/>
                <w:szCs w:val="22"/>
              </w:rPr>
              <w:t>Amendments to memoran</w:t>
            </w:r>
            <w:r w:rsidR="003A371E">
              <w:rPr>
                <w:rFonts w:ascii="Cambria" w:hAnsi="Cambria"/>
                <w:sz w:val="22"/>
                <w:szCs w:val="22"/>
              </w:rPr>
              <w:t>dum and articles of association</w:t>
            </w:r>
          </w:p>
          <w:p w14:paraId="6FDD9BBE" w14:textId="2EC786EF" w:rsidR="003A371E" w:rsidRPr="005A6988" w:rsidRDefault="003A371E" w:rsidP="00C02B35">
            <w:pPr>
              <w:pStyle w:val="BodyText"/>
              <w:ind w:right="476"/>
              <w:jc w:val="both"/>
              <w:rPr>
                <w:rFonts w:ascii="Cambria" w:hAnsi="Cambria"/>
                <w:sz w:val="22"/>
                <w:szCs w:val="22"/>
              </w:rPr>
            </w:pPr>
          </w:p>
        </w:tc>
      </w:tr>
      <w:tr w:rsidR="00611556" w:rsidRPr="005A6988" w14:paraId="56B618F2" w14:textId="77777777" w:rsidTr="00122173">
        <w:tc>
          <w:tcPr>
            <w:tcW w:w="1144" w:type="dxa"/>
          </w:tcPr>
          <w:p w14:paraId="3639AE70" w14:textId="37784580" w:rsidR="00611556" w:rsidRPr="005A6988" w:rsidRDefault="00E70A51" w:rsidP="00E70A51">
            <w:pPr>
              <w:pStyle w:val="BodyText"/>
              <w:ind w:right="476"/>
              <w:jc w:val="center"/>
              <w:rPr>
                <w:rFonts w:ascii="Cambria" w:hAnsi="Cambria"/>
                <w:sz w:val="22"/>
                <w:szCs w:val="22"/>
              </w:rPr>
            </w:pPr>
            <w:r w:rsidRPr="005A6988">
              <w:rPr>
                <w:rFonts w:ascii="Cambria" w:hAnsi="Cambria"/>
                <w:sz w:val="22"/>
                <w:szCs w:val="22"/>
              </w:rPr>
              <w:t xml:space="preserve">  </w:t>
            </w:r>
            <w:r w:rsidR="00611556" w:rsidRPr="005A6988">
              <w:rPr>
                <w:rFonts w:ascii="Cambria" w:hAnsi="Cambria"/>
                <w:sz w:val="22"/>
                <w:szCs w:val="22"/>
              </w:rPr>
              <w:t>15.</w:t>
            </w:r>
          </w:p>
        </w:tc>
        <w:tc>
          <w:tcPr>
            <w:tcW w:w="8972" w:type="dxa"/>
          </w:tcPr>
          <w:p w14:paraId="089CC3AE" w14:textId="77777777" w:rsidR="00611556" w:rsidRDefault="00611556" w:rsidP="00C02B35">
            <w:pPr>
              <w:pStyle w:val="BodyText"/>
              <w:ind w:right="476"/>
              <w:jc w:val="both"/>
              <w:rPr>
                <w:rFonts w:ascii="Cambria" w:hAnsi="Cambria"/>
                <w:sz w:val="22"/>
                <w:szCs w:val="22"/>
              </w:rPr>
            </w:pPr>
            <w:r w:rsidRPr="005A6988">
              <w:rPr>
                <w:rFonts w:ascii="Cambria" w:hAnsi="Cambria"/>
                <w:sz w:val="22"/>
                <w:szCs w:val="22"/>
              </w:rPr>
              <w:t>Schedule of analyst or institutional investor meet and presentations on financial results made by the Company to anal</w:t>
            </w:r>
            <w:r w:rsidR="003A371E">
              <w:rPr>
                <w:rFonts w:ascii="Cambria" w:hAnsi="Cambria"/>
                <w:sz w:val="22"/>
                <w:szCs w:val="22"/>
              </w:rPr>
              <w:t>ysts or institutional investors</w:t>
            </w:r>
          </w:p>
          <w:p w14:paraId="5DE5DF58" w14:textId="1C0F0E1A" w:rsidR="003A371E" w:rsidRPr="005A6988" w:rsidRDefault="003A371E" w:rsidP="00C02B35">
            <w:pPr>
              <w:pStyle w:val="BodyText"/>
              <w:ind w:right="476"/>
              <w:jc w:val="both"/>
              <w:rPr>
                <w:rFonts w:ascii="Cambria" w:hAnsi="Cambria"/>
                <w:sz w:val="22"/>
                <w:szCs w:val="22"/>
              </w:rPr>
            </w:pPr>
          </w:p>
        </w:tc>
      </w:tr>
    </w:tbl>
    <w:p w14:paraId="12839386" w14:textId="77777777" w:rsidR="003656B6" w:rsidRPr="005A6988" w:rsidRDefault="003656B6" w:rsidP="005A6988">
      <w:pPr>
        <w:pStyle w:val="BodyText"/>
        <w:ind w:right="476"/>
        <w:jc w:val="both"/>
        <w:rPr>
          <w:rFonts w:ascii="Cambria" w:hAnsi="Cambria"/>
          <w:sz w:val="22"/>
          <w:szCs w:val="22"/>
        </w:rPr>
      </w:pPr>
    </w:p>
    <w:p w14:paraId="1AA4F47E" w14:textId="77777777" w:rsidR="00611556" w:rsidRPr="005A6988" w:rsidRDefault="00611556" w:rsidP="00C02B35">
      <w:pPr>
        <w:pStyle w:val="BodyText"/>
        <w:ind w:left="240" w:right="476"/>
        <w:jc w:val="both"/>
        <w:rPr>
          <w:rFonts w:ascii="Cambria" w:hAnsi="Cambria"/>
          <w:b/>
          <w:sz w:val="22"/>
          <w:szCs w:val="22"/>
        </w:rPr>
      </w:pPr>
      <w:r w:rsidRPr="005A6988">
        <w:rPr>
          <w:rFonts w:ascii="Cambria" w:hAnsi="Cambria"/>
          <w:b/>
          <w:sz w:val="22"/>
          <w:szCs w:val="22"/>
        </w:rPr>
        <w:t>ANNEXURE – II</w:t>
      </w:r>
    </w:p>
    <w:p w14:paraId="45445679" w14:textId="77777777" w:rsidR="00611556" w:rsidRPr="005A6988" w:rsidRDefault="00611556" w:rsidP="00C02B35">
      <w:pPr>
        <w:pStyle w:val="BodyText"/>
        <w:ind w:left="240" w:right="476"/>
        <w:jc w:val="both"/>
        <w:rPr>
          <w:rFonts w:ascii="Cambria" w:hAnsi="Cambria"/>
          <w:b/>
          <w:sz w:val="22"/>
          <w:szCs w:val="22"/>
        </w:rPr>
      </w:pPr>
    </w:p>
    <w:tbl>
      <w:tblPr>
        <w:tblStyle w:val="TableGrid"/>
        <w:tblW w:w="0" w:type="auto"/>
        <w:tblInd w:w="240" w:type="dxa"/>
        <w:tblLook w:val="04A0" w:firstRow="1" w:lastRow="0" w:firstColumn="1" w:lastColumn="0" w:noHBand="0" w:noVBand="1"/>
      </w:tblPr>
      <w:tblGrid>
        <w:gridCol w:w="1428"/>
        <w:gridCol w:w="8688"/>
      </w:tblGrid>
      <w:tr w:rsidR="00611556" w:rsidRPr="005A6988" w14:paraId="333E88EE" w14:textId="77777777" w:rsidTr="009C08FD">
        <w:tc>
          <w:tcPr>
            <w:tcW w:w="1428" w:type="dxa"/>
          </w:tcPr>
          <w:p w14:paraId="69B62B7C" w14:textId="77777777" w:rsidR="00611556" w:rsidRPr="005A6988" w:rsidRDefault="00611556" w:rsidP="003A081A">
            <w:pPr>
              <w:pStyle w:val="BodyText"/>
              <w:ind w:right="476"/>
              <w:jc w:val="both"/>
              <w:rPr>
                <w:rFonts w:ascii="Cambria" w:hAnsi="Cambria"/>
                <w:sz w:val="22"/>
                <w:szCs w:val="22"/>
              </w:rPr>
            </w:pPr>
            <w:r w:rsidRPr="005A6988">
              <w:rPr>
                <w:rFonts w:ascii="Cambria" w:hAnsi="Cambria"/>
                <w:sz w:val="22"/>
                <w:szCs w:val="22"/>
              </w:rPr>
              <w:t>Sr.  No.</w:t>
            </w:r>
          </w:p>
        </w:tc>
        <w:tc>
          <w:tcPr>
            <w:tcW w:w="8688" w:type="dxa"/>
          </w:tcPr>
          <w:p w14:paraId="57651159" w14:textId="77777777" w:rsidR="00611556" w:rsidRDefault="00611556" w:rsidP="003A081A">
            <w:pPr>
              <w:pStyle w:val="BodyText"/>
              <w:ind w:right="476"/>
              <w:jc w:val="both"/>
              <w:rPr>
                <w:rFonts w:ascii="Cambria" w:hAnsi="Cambria"/>
                <w:sz w:val="22"/>
                <w:szCs w:val="22"/>
              </w:rPr>
            </w:pPr>
            <w:r w:rsidRPr="005A6988">
              <w:rPr>
                <w:rFonts w:ascii="Cambria" w:hAnsi="Cambria"/>
                <w:sz w:val="22"/>
                <w:szCs w:val="22"/>
              </w:rPr>
              <w:t>Events or information</w:t>
            </w:r>
          </w:p>
          <w:p w14:paraId="0CAF117C" w14:textId="77777777" w:rsidR="003A371E" w:rsidRPr="005A6988" w:rsidRDefault="003A371E" w:rsidP="003A081A">
            <w:pPr>
              <w:pStyle w:val="BodyText"/>
              <w:ind w:right="476"/>
              <w:jc w:val="both"/>
              <w:rPr>
                <w:rFonts w:ascii="Cambria" w:hAnsi="Cambria"/>
                <w:sz w:val="22"/>
                <w:szCs w:val="22"/>
              </w:rPr>
            </w:pPr>
          </w:p>
        </w:tc>
      </w:tr>
      <w:tr w:rsidR="00611556" w:rsidRPr="005A6988" w14:paraId="1DDD5BBD" w14:textId="77777777" w:rsidTr="009C08FD">
        <w:tc>
          <w:tcPr>
            <w:tcW w:w="1428" w:type="dxa"/>
          </w:tcPr>
          <w:p w14:paraId="0117E5DC" w14:textId="77777777" w:rsidR="00611556" w:rsidRPr="005A6988" w:rsidRDefault="00385969" w:rsidP="00385969">
            <w:pPr>
              <w:pStyle w:val="BodyText"/>
              <w:ind w:right="476"/>
              <w:jc w:val="center"/>
              <w:rPr>
                <w:rFonts w:ascii="Cambria" w:hAnsi="Cambria"/>
                <w:sz w:val="22"/>
                <w:szCs w:val="22"/>
              </w:rPr>
            </w:pPr>
            <w:r w:rsidRPr="005A6988">
              <w:rPr>
                <w:rFonts w:ascii="Cambria" w:hAnsi="Cambria"/>
                <w:sz w:val="22"/>
                <w:szCs w:val="22"/>
              </w:rPr>
              <w:t>1</w:t>
            </w:r>
          </w:p>
        </w:tc>
        <w:tc>
          <w:tcPr>
            <w:tcW w:w="8688" w:type="dxa"/>
          </w:tcPr>
          <w:p w14:paraId="5B57657D" w14:textId="77777777" w:rsidR="00611556" w:rsidRDefault="00385969" w:rsidP="00C02B35">
            <w:pPr>
              <w:pStyle w:val="BodyText"/>
              <w:ind w:right="476"/>
              <w:jc w:val="both"/>
              <w:rPr>
                <w:rFonts w:ascii="Cambria" w:hAnsi="Cambria"/>
                <w:sz w:val="22"/>
                <w:szCs w:val="22"/>
              </w:rPr>
            </w:pPr>
            <w:r w:rsidRPr="005A6988">
              <w:rPr>
                <w:rFonts w:ascii="Cambria" w:hAnsi="Cambria"/>
                <w:sz w:val="22"/>
                <w:szCs w:val="22"/>
              </w:rPr>
              <w:t>Commencement or any postponement in the date of commencement of commercial production or commercial operations of any unit/division.</w:t>
            </w:r>
          </w:p>
          <w:p w14:paraId="0CD9E2C5" w14:textId="77777777" w:rsidR="003A371E" w:rsidRPr="005A6988" w:rsidRDefault="003A371E" w:rsidP="00C02B35">
            <w:pPr>
              <w:pStyle w:val="BodyText"/>
              <w:ind w:right="476"/>
              <w:jc w:val="both"/>
              <w:rPr>
                <w:rFonts w:ascii="Cambria" w:hAnsi="Cambria"/>
                <w:sz w:val="22"/>
                <w:szCs w:val="22"/>
              </w:rPr>
            </w:pPr>
          </w:p>
        </w:tc>
      </w:tr>
      <w:tr w:rsidR="00611556" w:rsidRPr="005A6988" w14:paraId="683E4897" w14:textId="77777777" w:rsidTr="009C08FD">
        <w:tc>
          <w:tcPr>
            <w:tcW w:w="1428" w:type="dxa"/>
          </w:tcPr>
          <w:p w14:paraId="50151B2B" w14:textId="77777777" w:rsidR="00611556" w:rsidRPr="005A6988" w:rsidRDefault="00385969" w:rsidP="00385969">
            <w:pPr>
              <w:pStyle w:val="BodyText"/>
              <w:ind w:right="476"/>
              <w:jc w:val="center"/>
              <w:rPr>
                <w:rFonts w:ascii="Cambria" w:hAnsi="Cambria"/>
                <w:sz w:val="22"/>
                <w:szCs w:val="22"/>
              </w:rPr>
            </w:pPr>
            <w:r w:rsidRPr="005A6988">
              <w:rPr>
                <w:rFonts w:ascii="Cambria" w:hAnsi="Cambria"/>
                <w:sz w:val="22"/>
                <w:szCs w:val="22"/>
              </w:rPr>
              <w:t>2</w:t>
            </w:r>
          </w:p>
        </w:tc>
        <w:tc>
          <w:tcPr>
            <w:tcW w:w="8688" w:type="dxa"/>
          </w:tcPr>
          <w:p w14:paraId="6E1EE65C" w14:textId="77777777" w:rsidR="000D750E" w:rsidRDefault="00385969" w:rsidP="00C02B35">
            <w:pPr>
              <w:pStyle w:val="BodyText"/>
              <w:ind w:right="476"/>
              <w:jc w:val="both"/>
              <w:rPr>
                <w:rFonts w:ascii="Cambria" w:hAnsi="Cambria"/>
                <w:sz w:val="22"/>
                <w:szCs w:val="22"/>
              </w:rPr>
            </w:pPr>
            <w:r w:rsidRPr="005A6988">
              <w:rPr>
                <w:rFonts w:ascii="Cambria" w:hAnsi="Cambria"/>
                <w:sz w:val="22"/>
                <w:szCs w:val="22"/>
              </w:rPr>
              <w:t xml:space="preserve">Change in the general character or nature of business brought about by •Arrangements for strategic, technical, manufacturing, or marketing tie-up •Adoption of new line(s) of business in case of entering into new industry </w:t>
            </w:r>
          </w:p>
          <w:p w14:paraId="42DD444D" w14:textId="32785753" w:rsidR="00611556" w:rsidRDefault="00385969" w:rsidP="00C02B35">
            <w:pPr>
              <w:pStyle w:val="BodyText"/>
              <w:ind w:right="476"/>
              <w:jc w:val="both"/>
              <w:rPr>
                <w:rFonts w:ascii="Cambria" w:hAnsi="Cambria"/>
                <w:sz w:val="22"/>
                <w:szCs w:val="22"/>
              </w:rPr>
            </w:pPr>
            <w:r w:rsidRPr="005A6988">
              <w:rPr>
                <w:rFonts w:ascii="Cambria" w:hAnsi="Cambria"/>
                <w:sz w:val="22"/>
                <w:szCs w:val="22"/>
              </w:rPr>
              <w:t>•Closure of operations of any unit/division (entirety or piecemeal)</w:t>
            </w:r>
          </w:p>
          <w:p w14:paraId="54C016FA" w14:textId="77777777" w:rsidR="003A371E" w:rsidRPr="005A6988" w:rsidRDefault="003A371E" w:rsidP="00C02B35">
            <w:pPr>
              <w:pStyle w:val="BodyText"/>
              <w:ind w:right="476"/>
              <w:jc w:val="both"/>
              <w:rPr>
                <w:rFonts w:ascii="Cambria" w:hAnsi="Cambria"/>
                <w:sz w:val="22"/>
                <w:szCs w:val="22"/>
              </w:rPr>
            </w:pPr>
          </w:p>
        </w:tc>
      </w:tr>
      <w:tr w:rsidR="00B05FE7" w:rsidRPr="005A6988" w14:paraId="42FE6C7A" w14:textId="77777777" w:rsidTr="009C08FD">
        <w:tc>
          <w:tcPr>
            <w:tcW w:w="1428" w:type="dxa"/>
          </w:tcPr>
          <w:p w14:paraId="3873A58B" w14:textId="77777777" w:rsidR="00B05FE7" w:rsidRPr="005A6988" w:rsidRDefault="00B05FE7" w:rsidP="00385969">
            <w:pPr>
              <w:pStyle w:val="BodyText"/>
              <w:ind w:right="476"/>
              <w:jc w:val="center"/>
              <w:rPr>
                <w:rFonts w:ascii="Cambria" w:hAnsi="Cambria"/>
                <w:sz w:val="22"/>
                <w:szCs w:val="22"/>
              </w:rPr>
            </w:pPr>
            <w:r w:rsidRPr="005A6988">
              <w:rPr>
                <w:rFonts w:ascii="Cambria" w:hAnsi="Cambria"/>
                <w:sz w:val="22"/>
                <w:szCs w:val="22"/>
              </w:rPr>
              <w:t>3</w:t>
            </w:r>
          </w:p>
        </w:tc>
        <w:tc>
          <w:tcPr>
            <w:tcW w:w="8688" w:type="dxa"/>
          </w:tcPr>
          <w:p w14:paraId="3D921A49" w14:textId="77777777" w:rsidR="00B05FE7" w:rsidRDefault="00B05FE7" w:rsidP="00C02B35">
            <w:pPr>
              <w:pStyle w:val="BodyText"/>
              <w:ind w:right="476"/>
              <w:jc w:val="both"/>
              <w:rPr>
                <w:rFonts w:ascii="Cambria" w:hAnsi="Cambria"/>
                <w:sz w:val="22"/>
                <w:szCs w:val="22"/>
              </w:rPr>
            </w:pPr>
            <w:r w:rsidRPr="005A6988">
              <w:rPr>
                <w:rFonts w:ascii="Cambria" w:hAnsi="Cambria"/>
                <w:sz w:val="22"/>
                <w:szCs w:val="22"/>
              </w:rPr>
              <w:t>Capacity addition or product launch.</w:t>
            </w:r>
          </w:p>
          <w:p w14:paraId="47A2936C" w14:textId="77777777" w:rsidR="003A371E" w:rsidRPr="005A6988" w:rsidRDefault="003A371E" w:rsidP="00C02B35">
            <w:pPr>
              <w:pStyle w:val="BodyText"/>
              <w:ind w:right="476"/>
              <w:jc w:val="both"/>
              <w:rPr>
                <w:rFonts w:ascii="Cambria" w:hAnsi="Cambria"/>
                <w:sz w:val="22"/>
                <w:szCs w:val="22"/>
              </w:rPr>
            </w:pPr>
          </w:p>
        </w:tc>
      </w:tr>
      <w:tr w:rsidR="00B05FE7" w:rsidRPr="005A6988" w14:paraId="120E3A3E" w14:textId="77777777" w:rsidTr="009C08FD">
        <w:tc>
          <w:tcPr>
            <w:tcW w:w="1428" w:type="dxa"/>
          </w:tcPr>
          <w:p w14:paraId="359460C8" w14:textId="77777777" w:rsidR="00B05FE7" w:rsidRPr="005A6988" w:rsidRDefault="00B05FE7" w:rsidP="00385969">
            <w:pPr>
              <w:pStyle w:val="BodyText"/>
              <w:ind w:right="476"/>
              <w:jc w:val="center"/>
              <w:rPr>
                <w:rFonts w:ascii="Cambria" w:hAnsi="Cambria"/>
                <w:sz w:val="22"/>
                <w:szCs w:val="22"/>
              </w:rPr>
            </w:pPr>
            <w:r w:rsidRPr="005A6988">
              <w:rPr>
                <w:rFonts w:ascii="Cambria" w:hAnsi="Cambria"/>
                <w:sz w:val="22"/>
                <w:szCs w:val="22"/>
              </w:rPr>
              <w:t>4</w:t>
            </w:r>
          </w:p>
        </w:tc>
        <w:tc>
          <w:tcPr>
            <w:tcW w:w="8688" w:type="dxa"/>
          </w:tcPr>
          <w:p w14:paraId="290733F8" w14:textId="77777777" w:rsidR="00B05FE7" w:rsidRDefault="00B05FE7" w:rsidP="00C02B35">
            <w:pPr>
              <w:pStyle w:val="BodyText"/>
              <w:ind w:right="476"/>
              <w:jc w:val="both"/>
              <w:rPr>
                <w:rFonts w:ascii="Cambria" w:hAnsi="Cambria"/>
                <w:sz w:val="22"/>
                <w:szCs w:val="22"/>
              </w:rPr>
            </w:pPr>
            <w:r w:rsidRPr="005A6988">
              <w:rPr>
                <w:rFonts w:ascii="Cambria" w:hAnsi="Cambria"/>
                <w:sz w:val="22"/>
                <w:szCs w:val="22"/>
              </w:rPr>
              <w:t>Awarding, bagging/ receiving, amendment or termination of</w:t>
            </w:r>
            <w:r w:rsidR="008F510C" w:rsidRPr="005A6988">
              <w:rPr>
                <w:rFonts w:ascii="Cambria" w:hAnsi="Cambria"/>
                <w:sz w:val="22"/>
                <w:szCs w:val="22"/>
              </w:rPr>
              <w:t xml:space="preserve"> </w:t>
            </w:r>
            <w:r w:rsidRPr="005A6988">
              <w:rPr>
                <w:rFonts w:ascii="Cambria" w:hAnsi="Cambria"/>
                <w:sz w:val="22"/>
                <w:szCs w:val="22"/>
              </w:rPr>
              <w:t>awarded / bagged orders / contracts, not in the normal course of business.</w:t>
            </w:r>
          </w:p>
          <w:p w14:paraId="1851B80B" w14:textId="77777777" w:rsidR="003A371E" w:rsidRPr="005A6988" w:rsidRDefault="003A371E" w:rsidP="00C02B35">
            <w:pPr>
              <w:pStyle w:val="BodyText"/>
              <w:ind w:right="476"/>
              <w:jc w:val="both"/>
              <w:rPr>
                <w:rFonts w:ascii="Cambria" w:hAnsi="Cambria"/>
                <w:sz w:val="22"/>
                <w:szCs w:val="22"/>
              </w:rPr>
            </w:pPr>
          </w:p>
        </w:tc>
      </w:tr>
      <w:tr w:rsidR="008F510C" w:rsidRPr="005A6988" w14:paraId="3BB662B0" w14:textId="77777777" w:rsidTr="009C08FD">
        <w:tc>
          <w:tcPr>
            <w:tcW w:w="1428" w:type="dxa"/>
          </w:tcPr>
          <w:p w14:paraId="46DD117F" w14:textId="77777777" w:rsidR="008F510C" w:rsidRPr="005A6988" w:rsidRDefault="008F510C" w:rsidP="00385969">
            <w:pPr>
              <w:pStyle w:val="BodyText"/>
              <w:ind w:right="476"/>
              <w:jc w:val="center"/>
              <w:rPr>
                <w:rFonts w:ascii="Cambria" w:hAnsi="Cambria"/>
                <w:sz w:val="22"/>
                <w:szCs w:val="22"/>
              </w:rPr>
            </w:pPr>
            <w:r w:rsidRPr="005A6988">
              <w:rPr>
                <w:rFonts w:ascii="Cambria" w:hAnsi="Cambria"/>
                <w:sz w:val="22"/>
                <w:szCs w:val="22"/>
              </w:rPr>
              <w:t>5</w:t>
            </w:r>
          </w:p>
        </w:tc>
        <w:tc>
          <w:tcPr>
            <w:tcW w:w="8688" w:type="dxa"/>
          </w:tcPr>
          <w:p w14:paraId="14617595" w14:textId="77777777" w:rsidR="008F510C" w:rsidRDefault="008F510C" w:rsidP="008F510C">
            <w:pPr>
              <w:pStyle w:val="BodyText"/>
              <w:ind w:right="476"/>
              <w:jc w:val="both"/>
              <w:rPr>
                <w:rFonts w:ascii="Cambria" w:hAnsi="Cambria"/>
                <w:sz w:val="22"/>
                <w:szCs w:val="22"/>
                <w:lang w:val="en-IN"/>
              </w:rPr>
            </w:pPr>
            <w:r w:rsidRPr="005A6988">
              <w:rPr>
                <w:rFonts w:ascii="Cambria" w:hAnsi="Cambria"/>
                <w:sz w:val="22"/>
                <w:szCs w:val="22"/>
                <w:lang w:val="en-IN"/>
              </w:rPr>
              <w:t>Agreements (viz. loan agreement(s) (as a borrower) or any other agreement(s) which are binding and not in normal course of business, revision(s) or amendment(s) and termination(s) thereof.</w:t>
            </w:r>
          </w:p>
          <w:p w14:paraId="29F51F16" w14:textId="77777777" w:rsidR="003A371E" w:rsidRPr="005A6988" w:rsidRDefault="003A371E" w:rsidP="008F510C">
            <w:pPr>
              <w:pStyle w:val="BodyText"/>
              <w:ind w:right="476"/>
              <w:jc w:val="both"/>
              <w:rPr>
                <w:rFonts w:ascii="Cambria" w:hAnsi="Cambria"/>
                <w:sz w:val="22"/>
                <w:szCs w:val="22"/>
              </w:rPr>
            </w:pPr>
          </w:p>
        </w:tc>
      </w:tr>
      <w:tr w:rsidR="008F510C" w:rsidRPr="005A6988" w14:paraId="3F41BF9C" w14:textId="77777777" w:rsidTr="009C08FD">
        <w:tc>
          <w:tcPr>
            <w:tcW w:w="1428" w:type="dxa"/>
          </w:tcPr>
          <w:p w14:paraId="5EF4CFA7" w14:textId="77777777" w:rsidR="008F510C" w:rsidRPr="005A6988" w:rsidRDefault="008F510C" w:rsidP="00385969">
            <w:pPr>
              <w:pStyle w:val="BodyText"/>
              <w:ind w:right="476"/>
              <w:jc w:val="center"/>
              <w:rPr>
                <w:rFonts w:ascii="Cambria" w:hAnsi="Cambria"/>
                <w:sz w:val="22"/>
                <w:szCs w:val="22"/>
              </w:rPr>
            </w:pPr>
            <w:r w:rsidRPr="005A6988">
              <w:rPr>
                <w:rFonts w:ascii="Cambria" w:hAnsi="Cambria"/>
                <w:sz w:val="22"/>
                <w:szCs w:val="22"/>
              </w:rPr>
              <w:t>6</w:t>
            </w:r>
          </w:p>
        </w:tc>
        <w:tc>
          <w:tcPr>
            <w:tcW w:w="8688" w:type="dxa"/>
          </w:tcPr>
          <w:p w14:paraId="70CF3213" w14:textId="77777777" w:rsidR="008F510C" w:rsidRPr="005A6988" w:rsidRDefault="008F510C" w:rsidP="008F510C">
            <w:pPr>
              <w:pStyle w:val="BodyText"/>
              <w:ind w:right="476"/>
              <w:jc w:val="both"/>
              <w:rPr>
                <w:rFonts w:ascii="Cambria" w:hAnsi="Cambria"/>
                <w:sz w:val="22"/>
                <w:szCs w:val="22"/>
              </w:rPr>
            </w:pPr>
            <w:r w:rsidRPr="005A6988">
              <w:rPr>
                <w:rFonts w:ascii="Cambria" w:hAnsi="Cambria"/>
                <w:sz w:val="22"/>
                <w:szCs w:val="22"/>
              </w:rPr>
              <w:t xml:space="preserve">Disruption of operations of any one or more units or division of the Company due to natural calamity (earthquake, flood, fire etc.), force majeure or events such as strikes, lockouts etc.: </w:t>
            </w:r>
          </w:p>
          <w:p w14:paraId="57C0FF22" w14:textId="77777777" w:rsidR="008F510C" w:rsidRPr="005A6988" w:rsidRDefault="008F510C" w:rsidP="008F510C">
            <w:pPr>
              <w:pStyle w:val="BodyText"/>
              <w:ind w:right="476"/>
              <w:jc w:val="both"/>
              <w:rPr>
                <w:rFonts w:ascii="Cambria" w:hAnsi="Cambria"/>
                <w:sz w:val="22"/>
                <w:szCs w:val="22"/>
              </w:rPr>
            </w:pPr>
            <w:r w:rsidRPr="005A6988">
              <w:rPr>
                <w:rFonts w:ascii="Cambria" w:hAnsi="Cambria"/>
                <w:sz w:val="22"/>
                <w:szCs w:val="22"/>
              </w:rPr>
              <w:t xml:space="preserve">•At the time of occurrence </w:t>
            </w:r>
          </w:p>
          <w:p w14:paraId="79E8895A" w14:textId="77777777" w:rsidR="008F510C" w:rsidRDefault="008F510C" w:rsidP="008F510C">
            <w:pPr>
              <w:pStyle w:val="BodyText"/>
              <w:ind w:right="476"/>
              <w:jc w:val="both"/>
              <w:rPr>
                <w:rFonts w:ascii="Cambria" w:hAnsi="Cambria"/>
                <w:sz w:val="22"/>
                <w:szCs w:val="22"/>
              </w:rPr>
            </w:pPr>
            <w:r w:rsidRPr="005A6988">
              <w:rPr>
                <w:rFonts w:ascii="Cambria" w:hAnsi="Cambria"/>
                <w:sz w:val="22"/>
                <w:szCs w:val="22"/>
              </w:rPr>
              <w:t>•Regularly, till complete normalcy is restored</w:t>
            </w:r>
          </w:p>
          <w:p w14:paraId="22089B7D" w14:textId="77777777" w:rsidR="003A371E" w:rsidRPr="005A6988" w:rsidRDefault="003A371E" w:rsidP="008F510C">
            <w:pPr>
              <w:pStyle w:val="BodyText"/>
              <w:ind w:right="476"/>
              <w:jc w:val="both"/>
              <w:rPr>
                <w:rFonts w:ascii="Cambria" w:hAnsi="Cambria"/>
                <w:sz w:val="22"/>
                <w:szCs w:val="22"/>
                <w:lang w:val="en-IN"/>
              </w:rPr>
            </w:pPr>
          </w:p>
        </w:tc>
      </w:tr>
      <w:tr w:rsidR="008F510C" w:rsidRPr="005A6988" w14:paraId="60C37DB2" w14:textId="77777777" w:rsidTr="009C08FD">
        <w:tc>
          <w:tcPr>
            <w:tcW w:w="1428" w:type="dxa"/>
          </w:tcPr>
          <w:p w14:paraId="58609C29" w14:textId="77777777" w:rsidR="008F510C" w:rsidRPr="005A6988" w:rsidRDefault="008F510C" w:rsidP="00385969">
            <w:pPr>
              <w:pStyle w:val="BodyText"/>
              <w:ind w:right="476"/>
              <w:jc w:val="center"/>
              <w:rPr>
                <w:rFonts w:ascii="Cambria" w:hAnsi="Cambria"/>
                <w:sz w:val="22"/>
                <w:szCs w:val="22"/>
              </w:rPr>
            </w:pPr>
            <w:r w:rsidRPr="005A6988">
              <w:rPr>
                <w:rFonts w:ascii="Cambria" w:hAnsi="Cambria"/>
                <w:sz w:val="22"/>
                <w:szCs w:val="22"/>
              </w:rPr>
              <w:t>7</w:t>
            </w:r>
          </w:p>
        </w:tc>
        <w:tc>
          <w:tcPr>
            <w:tcW w:w="8688" w:type="dxa"/>
          </w:tcPr>
          <w:p w14:paraId="68EA32AF" w14:textId="77777777" w:rsidR="008F510C" w:rsidRDefault="008F510C" w:rsidP="008F510C">
            <w:pPr>
              <w:pStyle w:val="BodyText"/>
              <w:ind w:right="476"/>
              <w:jc w:val="both"/>
              <w:rPr>
                <w:rFonts w:ascii="Cambria" w:hAnsi="Cambria"/>
                <w:sz w:val="22"/>
                <w:szCs w:val="22"/>
              </w:rPr>
            </w:pPr>
            <w:r w:rsidRPr="005A6988">
              <w:rPr>
                <w:rFonts w:ascii="Cambria" w:hAnsi="Cambria"/>
                <w:sz w:val="22"/>
                <w:szCs w:val="22"/>
              </w:rPr>
              <w:t>Effect(s) arising out of change in the regulatory framework applicable to the Company.</w:t>
            </w:r>
          </w:p>
          <w:p w14:paraId="0D53BE98" w14:textId="77777777" w:rsidR="003A371E" w:rsidRPr="005A6988" w:rsidRDefault="003A371E" w:rsidP="008F510C">
            <w:pPr>
              <w:pStyle w:val="BodyText"/>
              <w:ind w:right="476"/>
              <w:jc w:val="both"/>
              <w:rPr>
                <w:rFonts w:ascii="Cambria" w:hAnsi="Cambria"/>
                <w:sz w:val="22"/>
                <w:szCs w:val="22"/>
              </w:rPr>
            </w:pPr>
          </w:p>
        </w:tc>
      </w:tr>
      <w:tr w:rsidR="008F510C" w:rsidRPr="005A6988" w14:paraId="5D5346F7" w14:textId="77777777" w:rsidTr="009C08FD">
        <w:tc>
          <w:tcPr>
            <w:tcW w:w="1428" w:type="dxa"/>
          </w:tcPr>
          <w:p w14:paraId="46BA0382" w14:textId="77777777" w:rsidR="008F510C" w:rsidRPr="005A6988" w:rsidRDefault="008F510C" w:rsidP="00385969">
            <w:pPr>
              <w:pStyle w:val="BodyText"/>
              <w:ind w:right="476"/>
              <w:jc w:val="center"/>
              <w:rPr>
                <w:rFonts w:ascii="Cambria" w:hAnsi="Cambria"/>
                <w:sz w:val="22"/>
                <w:szCs w:val="22"/>
              </w:rPr>
            </w:pPr>
            <w:r w:rsidRPr="005A6988">
              <w:rPr>
                <w:rFonts w:ascii="Cambria" w:hAnsi="Cambria"/>
                <w:sz w:val="22"/>
                <w:szCs w:val="22"/>
              </w:rPr>
              <w:t>8</w:t>
            </w:r>
          </w:p>
        </w:tc>
        <w:tc>
          <w:tcPr>
            <w:tcW w:w="8688" w:type="dxa"/>
          </w:tcPr>
          <w:p w14:paraId="7BA7607A" w14:textId="77777777" w:rsidR="008F510C" w:rsidRDefault="008F510C" w:rsidP="008F510C">
            <w:pPr>
              <w:pStyle w:val="BodyText"/>
              <w:ind w:right="476"/>
              <w:jc w:val="both"/>
              <w:rPr>
                <w:rFonts w:ascii="Cambria" w:hAnsi="Cambria"/>
                <w:sz w:val="22"/>
                <w:szCs w:val="22"/>
              </w:rPr>
            </w:pPr>
            <w:r w:rsidRPr="005A6988">
              <w:rPr>
                <w:rFonts w:ascii="Cambria" w:hAnsi="Cambria"/>
                <w:sz w:val="22"/>
                <w:szCs w:val="22"/>
              </w:rPr>
              <w:t>Litigation(s) / dispute(s) / regulatory action(s) with impact</w:t>
            </w:r>
          </w:p>
          <w:p w14:paraId="69257701" w14:textId="77777777" w:rsidR="003A371E" w:rsidRPr="005A6988" w:rsidRDefault="003A371E" w:rsidP="008F510C">
            <w:pPr>
              <w:pStyle w:val="BodyText"/>
              <w:ind w:right="476"/>
              <w:jc w:val="both"/>
              <w:rPr>
                <w:rFonts w:ascii="Cambria" w:hAnsi="Cambria"/>
                <w:sz w:val="22"/>
                <w:szCs w:val="22"/>
              </w:rPr>
            </w:pPr>
          </w:p>
        </w:tc>
      </w:tr>
      <w:tr w:rsidR="008F510C" w:rsidRPr="005A6988" w14:paraId="70B73373" w14:textId="77777777" w:rsidTr="009C08FD">
        <w:tc>
          <w:tcPr>
            <w:tcW w:w="1428" w:type="dxa"/>
          </w:tcPr>
          <w:p w14:paraId="5ED65742" w14:textId="77777777" w:rsidR="008F510C" w:rsidRPr="005A6988" w:rsidRDefault="008F510C" w:rsidP="00385969">
            <w:pPr>
              <w:pStyle w:val="BodyText"/>
              <w:ind w:right="476"/>
              <w:jc w:val="center"/>
              <w:rPr>
                <w:rFonts w:ascii="Cambria" w:hAnsi="Cambria"/>
                <w:sz w:val="22"/>
                <w:szCs w:val="22"/>
              </w:rPr>
            </w:pPr>
            <w:r w:rsidRPr="005A6988">
              <w:rPr>
                <w:rFonts w:ascii="Cambria" w:hAnsi="Cambria"/>
                <w:sz w:val="22"/>
                <w:szCs w:val="22"/>
              </w:rPr>
              <w:t>9</w:t>
            </w:r>
          </w:p>
        </w:tc>
        <w:tc>
          <w:tcPr>
            <w:tcW w:w="8688" w:type="dxa"/>
          </w:tcPr>
          <w:p w14:paraId="5F2D20A7" w14:textId="77777777" w:rsidR="008F510C" w:rsidRDefault="008F510C" w:rsidP="008F510C">
            <w:pPr>
              <w:pStyle w:val="BodyText"/>
              <w:ind w:right="476"/>
              <w:jc w:val="both"/>
              <w:rPr>
                <w:rFonts w:ascii="Cambria" w:hAnsi="Cambria"/>
                <w:sz w:val="22"/>
                <w:szCs w:val="22"/>
              </w:rPr>
            </w:pPr>
            <w:r w:rsidRPr="005A6988">
              <w:rPr>
                <w:rFonts w:ascii="Cambria" w:hAnsi="Cambria"/>
                <w:sz w:val="22"/>
                <w:szCs w:val="22"/>
              </w:rPr>
              <w:t>Frauds/ defaults by directors (other than key managerial personnel) or employees of the Company.</w:t>
            </w:r>
          </w:p>
          <w:p w14:paraId="5FDE5D89" w14:textId="77777777" w:rsidR="003A371E" w:rsidRPr="005A6988" w:rsidRDefault="003A371E" w:rsidP="008F510C">
            <w:pPr>
              <w:pStyle w:val="BodyText"/>
              <w:ind w:right="476"/>
              <w:jc w:val="both"/>
              <w:rPr>
                <w:rFonts w:ascii="Cambria" w:hAnsi="Cambria"/>
                <w:sz w:val="22"/>
                <w:szCs w:val="22"/>
              </w:rPr>
            </w:pPr>
          </w:p>
        </w:tc>
      </w:tr>
      <w:tr w:rsidR="008F510C" w:rsidRPr="005A6988" w14:paraId="16CBE894" w14:textId="77777777" w:rsidTr="009C08FD">
        <w:tc>
          <w:tcPr>
            <w:tcW w:w="1428" w:type="dxa"/>
          </w:tcPr>
          <w:p w14:paraId="3F3DA515" w14:textId="77777777" w:rsidR="008F510C" w:rsidRPr="005A6988" w:rsidRDefault="008F510C" w:rsidP="00385969">
            <w:pPr>
              <w:pStyle w:val="BodyText"/>
              <w:ind w:right="476"/>
              <w:jc w:val="center"/>
              <w:rPr>
                <w:rFonts w:ascii="Cambria" w:hAnsi="Cambria"/>
                <w:sz w:val="22"/>
                <w:szCs w:val="22"/>
              </w:rPr>
            </w:pPr>
            <w:r w:rsidRPr="005A6988">
              <w:rPr>
                <w:rFonts w:ascii="Cambria" w:hAnsi="Cambria"/>
                <w:sz w:val="22"/>
                <w:szCs w:val="22"/>
              </w:rPr>
              <w:t>10</w:t>
            </w:r>
          </w:p>
        </w:tc>
        <w:tc>
          <w:tcPr>
            <w:tcW w:w="8688" w:type="dxa"/>
          </w:tcPr>
          <w:p w14:paraId="614A9C14" w14:textId="77777777" w:rsidR="008F510C" w:rsidRDefault="008F510C" w:rsidP="008F510C">
            <w:pPr>
              <w:pStyle w:val="BodyText"/>
              <w:ind w:right="476"/>
              <w:jc w:val="both"/>
              <w:rPr>
                <w:rFonts w:ascii="Cambria" w:hAnsi="Cambria"/>
                <w:sz w:val="22"/>
                <w:szCs w:val="22"/>
              </w:rPr>
            </w:pPr>
            <w:r w:rsidRPr="005A6988">
              <w:rPr>
                <w:rFonts w:ascii="Cambria" w:hAnsi="Cambria"/>
                <w:sz w:val="22"/>
                <w:szCs w:val="22"/>
              </w:rPr>
              <w:t>Options to purchase securities including any ESOP / ESPS Scheme.</w:t>
            </w:r>
          </w:p>
          <w:p w14:paraId="3AF2FC75" w14:textId="77777777" w:rsidR="003A371E" w:rsidRPr="005A6988" w:rsidRDefault="003A371E" w:rsidP="008F510C">
            <w:pPr>
              <w:pStyle w:val="BodyText"/>
              <w:ind w:right="476"/>
              <w:jc w:val="both"/>
              <w:rPr>
                <w:rFonts w:ascii="Cambria" w:hAnsi="Cambria"/>
                <w:sz w:val="22"/>
                <w:szCs w:val="22"/>
              </w:rPr>
            </w:pPr>
          </w:p>
        </w:tc>
      </w:tr>
      <w:tr w:rsidR="00AA18CE" w:rsidRPr="005A6988" w14:paraId="2EF183B5" w14:textId="77777777" w:rsidTr="009C08FD">
        <w:tc>
          <w:tcPr>
            <w:tcW w:w="1428" w:type="dxa"/>
          </w:tcPr>
          <w:p w14:paraId="27A6219A" w14:textId="77777777" w:rsidR="00AA18CE" w:rsidRPr="005A6988" w:rsidRDefault="00AA18CE" w:rsidP="00385969">
            <w:pPr>
              <w:pStyle w:val="BodyText"/>
              <w:ind w:right="476"/>
              <w:jc w:val="center"/>
              <w:rPr>
                <w:rFonts w:ascii="Cambria" w:hAnsi="Cambria"/>
                <w:sz w:val="22"/>
                <w:szCs w:val="22"/>
              </w:rPr>
            </w:pPr>
            <w:r w:rsidRPr="005A6988">
              <w:rPr>
                <w:rFonts w:ascii="Cambria" w:hAnsi="Cambria"/>
                <w:sz w:val="22"/>
                <w:szCs w:val="22"/>
              </w:rPr>
              <w:t>11</w:t>
            </w:r>
          </w:p>
        </w:tc>
        <w:tc>
          <w:tcPr>
            <w:tcW w:w="8688" w:type="dxa"/>
          </w:tcPr>
          <w:p w14:paraId="06529D4F" w14:textId="77777777" w:rsidR="00AA18CE" w:rsidRDefault="00AA18CE" w:rsidP="008F510C">
            <w:pPr>
              <w:pStyle w:val="BodyText"/>
              <w:ind w:right="476"/>
              <w:jc w:val="both"/>
              <w:rPr>
                <w:rFonts w:ascii="Cambria" w:hAnsi="Cambria"/>
                <w:sz w:val="22"/>
                <w:szCs w:val="22"/>
              </w:rPr>
            </w:pPr>
            <w:r w:rsidRPr="005A6988">
              <w:rPr>
                <w:rFonts w:ascii="Cambria" w:hAnsi="Cambria"/>
                <w:sz w:val="22"/>
                <w:szCs w:val="22"/>
              </w:rPr>
              <w:t>Giving of guarantees or indemnity or becoming a surety for any third party other than group or associate Companies.</w:t>
            </w:r>
          </w:p>
          <w:p w14:paraId="2B63CE63" w14:textId="77777777" w:rsidR="003A371E" w:rsidRPr="005A6988" w:rsidRDefault="003A371E" w:rsidP="008F510C">
            <w:pPr>
              <w:pStyle w:val="BodyText"/>
              <w:ind w:right="476"/>
              <w:jc w:val="both"/>
              <w:rPr>
                <w:rFonts w:ascii="Cambria" w:hAnsi="Cambria"/>
                <w:sz w:val="22"/>
                <w:szCs w:val="22"/>
              </w:rPr>
            </w:pPr>
          </w:p>
        </w:tc>
      </w:tr>
      <w:tr w:rsidR="00AA18CE" w:rsidRPr="005A6988" w14:paraId="05DF02F4" w14:textId="77777777" w:rsidTr="009C08FD">
        <w:tc>
          <w:tcPr>
            <w:tcW w:w="1428" w:type="dxa"/>
          </w:tcPr>
          <w:p w14:paraId="02568522" w14:textId="77777777" w:rsidR="00AA18CE" w:rsidRPr="005A6988" w:rsidRDefault="00AA18CE" w:rsidP="00385969">
            <w:pPr>
              <w:pStyle w:val="BodyText"/>
              <w:ind w:right="476"/>
              <w:jc w:val="center"/>
              <w:rPr>
                <w:rFonts w:ascii="Cambria" w:hAnsi="Cambria"/>
                <w:sz w:val="22"/>
                <w:szCs w:val="22"/>
              </w:rPr>
            </w:pPr>
            <w:r w:rsidRPr="005A6988">
              <w:rPr>
                <w:rFonts w:ascii="Cambria" w:hAnsi="Cambria"/>
                <w:sz w:val="22"/>
                <w:szCs w:val="22"/>
              </w:rPr>
              <w:t>12</w:t>
            </w:r>
          </w:p>
        </w:tc>
        <w:tc>
          <w:tcPr>
            <w:tcW w:w="8688" w:type="dxa"/>
          </w:tcPr>
          <w:p w14:paraId="2A69A4B6" w14:textId="77777777" w:rsidR="00AA18CE" w:rsidRDefault="00AA18CE" w:rsidP="008F510C">
            <w:pPr>
              <w:pStyle w:val="BodyText"/>
              <w:ind w:right="476"/>
              <w:jc w:val="both"/>
              <w:rPr>
                <w:rFonts w:ascii="Cambria" w:hAnsi="Cambria"/>
                <w:sz w:val="22"/>
                <w:szCs w:val="22"/>
              </w:rPr>
            </w:pPr>
            <w:r w:rsidRPr="005A6988">
              <w:rPr>
                <w:rFonts w:ascii="Cambria" w:hAnsi="Cambria"/>
                <w:sz w:val="22"/>
                <w:szCs w:val="22"/>
              </w:rPr>
              <w:t>Granting, withdrawal, surrender, cancellation or suspension of key licenses or regulatory approvals.</w:t>
            </w:r>
          </w:p>
          <w:p w14:paraId="4C3E1CAD" w14:textId="77777777" w:rsidR="003A371E" w:rsidRPr="005A6988" w:rsidRDefault="003A371E" w:rsidP="008F510C">
            <w:pPr>
              <w:pStyle w:val="BodyText"/>
              <w:ind w:right="476"/>
              <w:jc w:val="both"/>
              <w:rPr>
                <w:rFonts w:ascii="Cambria" w:hAnsi="Cambria"/>
                <w:sz w:val="22"/>
                <w:szCs w:val="22"/>
              </w:rPr>
            </w:pPr>
          </w:p>
        </w:tc>
      </w:tr>
      <w:tr w:rsidR="00AA18CE" w:rsidRPr="005A6988" w14:paraId="72527178" w14:textId="77777777" w:rsidTr="009C08FD">
        <w:tc>
          <w:tcPr>
            <w:tcW w:w="1428" w:type="dxa"/>
          </w:tcPr>
          <w:p w14:paraId="5780F68C" w14:textId="77777777" w:rsidR="00AA18CE" w:rsidRPr="005A6988" w:rsidRDefault="00AA18CE" w:rsidP="00385969">
            <w:pPr>
              <w:pStyle w:val="BodyText"/>
              <w:ind w:right="476"/>
              <w:jc w:val="center"/>
              <w:rPr>
                <w:rFonts w:ascii="Cambria" w:hAnsi="Cambria"/>
                <w:sz w:val="22"/>
                <w:szCs w:val="22"/>
              </w:rPr>
            </w:pPr>
            <w:r w:rsidRPr="005A6988">
              <w:rPr>
                <w:rFonts w:ascii="Cambria" w:hAnsi="Cambria"/>
                <w:sz w:val="22"/>
                <w:szCs w:val="22"/>
              </w:rPr>
              <w:t>13</w:t>
            </w:r>
          </w:p>
        </w:tc>
        <w:tc>
          <w:tcPr>
            <w:tcW w:w="8688" w:type="dxa"/>
          </w:tcPr>
          <w:p w14:paraId="097F43A3" w14:textId="77777777" w:rsidR="00AA18CE" w:rsidRPr="005A6988" w:rsidRDefault="00AA18CE" w:rsidP="008F510C">
            <w:pPr>
              <w:pStyle w:val="BodyText"/>
              <w:ind w:right="476"/>
              <w:jc w:val="both"/>
              <w:rPr>
                <w:rFonts w:ascii="Cambria" w:hAnsi="Cambria"/>
                <w:sz w:val="22"/>
                <w:szCs w:val="22"/>
              </w:rPr>
            </w:pPr>
            <w:r w:rsidRPr="005A6988">
              <w:rPr>
                <w:rFonts w:ascii="Cambria" w:hAnsi="Cambria"/>
                <w:sz w:val="22"/>
                <w:szCs w:val="22"/>
              </w:rPr>
              <w:t>Any other information/event viz. major development that is likely to affect business, e.g. emergence of new technologies, expiry of patents, any change of accounting policy that may have a significant impact on the accounts, etc. and brief details thereof and any other information which is exclusively known to the Company which may be necessary to enable the holders of securities of the Company to appraise its position and to avoid the establishment of a false market in such securities.</w:t>
            </w:r>
          </w:p>
        </w:tc>
      </w:tr>
    </w:tbl>
    <w:p w14:paraId="5FD7FDB4" w14:textId="77777777" w:rsidR="00611556" w:rsidRPr="00385969" w:rsidRDefault="00611556" w:rsidP="000D750E">
      <w:pPr>
        <w:pStyle w:val="BodyText"/>
        <w:ind w:right="476"/>
        <w:jc w:val="both"/>
      </w:pPr>
    </w:p>
    <w:sectPr w:rsidR="00611556" w:rsidRPr="00385969" w:rsidSect="00232AFE">
      <w:headerReference w:type="default" r:id="rId10"/>
      <w:footerReference w:type="default" r:id="rId11"/>
      <w:pgSz w:w="12240" w:h="15840"/>
      <w:pgMar w:top="390" w:right="900" w:bottom="1680" w:left="1200" w:header="454" w:footer="1488"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14982" w14:textId="77777777" w:rsidR="00360227" w:rsidRDefault="00360227" w:rsidP="00945767">
      <w:r>
        <w:separator/>
      </w:r>
    </w:p>
  </w:endnote>
  <w:endnote w:type="continuationSeparator" w:id="0">
    <w:p w14:paraId="5869AADC" w14:textId="77777777" w:rsidR="00360227" w:rsidRDefault="00360227" w:rsidP="0094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640728"/>
      <w:docPartObj>
        <w:docPartGallery w:val="Page Numbers (Bottom of Page)"/>
        <w:docPartUnique/>
      </w:docPartObj>
    </w:sdtPr>
    <w:sdtEndPr>
      <w:rPr>
        <w:color w:val="7F7F7F" w:themeColor="background1" w:themeShade="7F"/>
        <w:spacing w:val="60"/>
      </w:rPr>
    </w:sdtEndPr>
    <w:sdtContent>
      <w:p w14:paraId="1029DBDE" w14:textId="4CB00ACF" w:rsidR="000D750E" w:rsidRDefault="000D750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139AC" w:rsidRPr="004139AC">
          <w:rPr>
            <w:b/>
            <w:bCs/>
            <w:noProof/>
          </w:rPr>
          <w:t>1</w:t>
        </w:r>
        <w:r>
          <w:rPr>
            <w:b/>
            <w:bCs/>
            <w:noProof/>
          </w:rPr>
          <w:fldChar w:fldCharType="end"/>
        </w:r>
        <w:r>
          <w:rPr>
            <w:b/>
            <w:bCs/>
          </w:rPr>
          <w:t xml:space="preserve"> | </w:t>
        </w:r>
        <w:r>
          <w:rPr>
            <w:color w:val="7F7F7F" w:themeColor="background1" w:themeShade="7F"/>
            <w:spacing w:val="60"/>
          </w:rPr>
          <w:t>Page</w:t>
        </w:r>
      </w:p>
    </w:sdtContent>
  </w:sdt>
  <w:p w14:paraId="63E011FC" w14:textId="22FE4856" w:rsidR="00945767" w:rsidRDefault="00945767">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B9E7B" w14:textId="77777777" w:rsidR="00360227" w:rsidRDefault="00360227" w:rsidP="00945767">
      <w:r>
        <w:separator/>
      </w:r>
    </w:p>
  </w:footnote>
  <w:footnote w:type="continuationSeparator" w:id="0">
    <w:p w14:paraId="48DD3140" w14:textId="77777777" w:rsidR="00360227" w:rsidRDefault="00360227" w:rsidP="00945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45FED" w14:textId="77777777" w:rsidR="00945767" w:rsidRDefault="004139AC">
    <w:pPr>
      <w:pStyle w:val="BodyText"/>
      <w:spacing w:line="14" w:lineRule="auto"/>
      <w:rPr>
        <w:sz w:val="20"/>
      </w:rPr>
    </w:pPr>
    <w:r>
      <w:pict w14:anchorId="2B30FB4C">
        <v:shapetype id="_x0000_t202" coordsize="21600,21600" o:spt="202" path="m,l,21600r21600,l21600,xe">
          <v:stroke joinstyle="miter"/>
          <v:path gradientshapeok="t" o:connecttype="rect"/>
        </v:shapetype>
        <v:shape id="_x0000_s2054" type="#_x0000_t202" style="position:absolute;margin-left:135.25pt;margin-top:45.75pt;width:365pt;height:20pt;z-index:-251658752;mso-position-horizontal-relative:page;mso-position-vertical-relative:page" filled="f" stroked="f">
          <v:textbox style="mso-next-textbox:#_x0000_s2054" inset="0,0,0,0">
            <w:txbxContent>
              <w:p w14:paraId="02EC402E" w14:textId="77777777" w:rsidR="00945767" w:rsidRPr="00236A78" w:rsidRDefault="00945767" w:rsidP="00236A78">
                <w:pPr>
                  <w:jc w:val="cente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368D7"/>
    <w:multiLevelType w:val="hybridMultilevel"/>
    <w:tmpl w:val="25B03A4E"/>
    <w:lvl w:ilvl="0" w:tplc="0A34B4C8">
      <w:start w:val="4"/>
      <w:numFmt w:val="decimal"/>
      <w:lvlText w:val="%1"/>
      <w:lvlJc w:val="left"/>
      <w:pPr>
        <w:ind w:left="960" w:hanging="720"/>
      </w:pPr>
      <w:rPr>
        <w:rFonts w:hint="default"/>
      </w:rPr>
    </w:lvl>
    <w:lvl w:ilvl="1" w:tplc="D9A8B8BE">
      <w:numFmt w:val="none"/>
      <w:lvlText w:val=""/>
      <w:lvlJc w:val="left"/>
      <w:pPr>
        <w:tabs>
          <w:tab w:val="num" w:pos="360"/>
        </w:tabs>
      </w:pPr>
    </w:lvl>
    <w:lvl w:ilvl="2" w:tplc="088EA82A">
      <w:start w:val="1"/>
      <w:numFmt w:val="bullet"/>
      <w:lvlText w:val=""/>
      <w:lvlJc w:val="left"/>
      <w:pPr>
        <w:ind w:left="960" w:hanging="360"/>
      </w:pPr>
      <w:rPr>
        <w:rFonts w:ascii="Symbol" w:eastAsia="Symbol" w:hAnsi="Symbol" w:cs="Symbol" w:hint="default"/>
        <w:w w:val="100"/>
        <w:sz w:val="24"/>
        <w:szCs w:val="24"/>
      </w:rPr>
    </w:lvl>
    <w:lvl w:ilvl="3" w:tplc="0080697A">
      <w:start w:val="1"/>
      <w:numFmt w:val="bullet"/>
      <w:lvlText w:val="•"/>
      <w:lvlJc w:val="left"/>
      <w:pPr>
        <w:ind w:left="3714" w:hanging="360"/>
      </w:pPr>
      <w:rPr>
        <w:rFonts w:hint="default"/>
      </w:rPr>
    </w:lvl>
    <w:lvl w:ilvl="4" w:tplc="E2AC8D06">
      <w:start w:val="1"/>
      <w:numFmt w:val="bullet"/>
      <w:lvlText w:val="•"/>
      <w:lvlJc w:val="left"/>
      <w:pPr>
        <w:ind w:left="4632" w:hanging="360"/>
      </w:pPr>
      <w:rPr>
        <w:rFonts w:hint="default"/>
      </w:rPr>
    </w:lvl>
    <w:lvl w:ilvl="5" w:tplc="963AC056">
      <w:start w:val="1"/>
      <w:numFmt w:val="bullet"/>
      <w:lvlText w:val="•"/>
      <w:lvlJc w:val="left"/>
      <w:pPr>
        <w:ind w:left="5550" w:hanging="360"/>
      </w:pPr>
      <w:rPr>
        <w:rFonts w:hint="default"/>
      </w:rPr>
    </w:lvl>
    <w:lvl w:ilvl="6" w:tplc="41E6AA46">
      <w:start w:val="1"/>
      <w:numFmt w:val="bullet"/>
      <w:lvlText w:val="•"/>
      <w:lvlJc w:val="left"/>
      <w:pPr>
        <w:ind w:left="6468" w:hanging="360"/>
      </w:pPr>
      <w:rPr>
        <w:rFonts w:hint="default"/>
      </w:rPr>
    </w:lvl>
    <w:lvl w:ilvl="7" w:tplc="D2DA9924">
      <w:start w:val="1"/>
      <w:numFmt w:val="bullet"/>
      <w:lvlText w:val="•"/>
      <w:lvlJc w:val="left"/>
      <w:pPr>
        <w:ind w:left="7386" w:hanging="360"/>
      </w:pPr>
      <w:rPr>
        <w:rFonts w:hint="default"/>
      </w:rPr>
    </w:lvl>
    <w:lvl w:ilvl="8" w:tplc="6056525C">
      <w:start w:val="1"/>
      <w:numFmt w:val="bullet"/>
      <w:lvlText w:val="•"/>
      <w:lvlJc w:val="left"/>
      <w:pPr>
        <w:ind w:left="8304" w:hanging="360"/>
      </w:pPr>
      <w:rPr>
        <w:rFonts w:hint="default"/>
      </w:rPr>
    </w:lvl>
  </w:abstractNum>
  <w:abstractNum w:abstractNumId="1">
    <w:nsid w:val="119F21A7"/>
    <w:multiLevelType w:val="hybridMultilevel"/>
    <w:tmpl w:val="5E22A57E"/>
    <w:lvl w:ilvl="0" w:tplc="7996E914">
      <w:start w:val="1"/>
      <w:numFmt w:val="lowerLetter"/>
      <w:lvlText w:val="%1."/>
      <w:lvlJc w:val="left"/>
      <w:pPr>
        <w:ind w:left="960" w:hanging="360"/>
      </w:pPr>
      <w:rPr>
        <w:rFonts w:ascii="Calibri" w:eastAsia="Calibri" w:hAnsi="Calibri" w:cs="Calibri" w:hint="default"/>
        <w:spacing w:val="-1"/>
        <w:w w:val="100"/>
        <w:sz w:val="22"/>
        <w:szCs w:val="22"/>
      </w:rPr>
    </w:lvl>
    <w:lvl w:ilvl="1" w:tplc="33607370">
      <w:start w:val="1"/>
      <w:numFmt w:val="bullet"/>
      <w:lvlText w:val="•"/>
      <w:lvlJc w:val="left"/>
      <w:pPr>
        <w:ind w:left="1878" w:hanging="360"/>
      </w:pPr>
      <w:rPr>
        <w:rFonts w:hint="default"/>
      </w:rPr>
    </w:lvl>
    <w:lvl w:ilvl="2" w:tplc="237497F4">
      <w:start w:val="1"/>
      <w:numFmt w:val="bullet"/>
      <w:lvlText w:val="•"/>
      <w:lvlJc w:val="left"/>
      <w:pPr>
        <w:ind w:left="2796" w:hanging="360"/>
      </w:pPr>
      <w:rPr>
        <w:rFonts w:hint="default"/>
      </w:rPr>
    </w:lvl>
    <w:lvl w:ilvl="3" w:tplc="E6585284">
      <w:start w:val="1"/>
      <w:numFmt w:val="bullet"/>
      <w:lvlText w:val="•"/>
      <w:lvlJc w:val="left"/>
      <w:pPr>
        <w:ind w:left="3714" w:hanging="360"/>
      </w:pPr>
      <w:rPr>
        <w:rFonts w:hint="default"/>
      </w:rPr>
    </w:lvl>
    <w:lvl w:ilvl="4" w:tplc="2026C71E">
      <w:start w:val="1"/>
      <w:numFmt w:val="bullet"/>
      <w:lvlText w:val="•"/>
      <w:lvlJc w:val="left"/>
      <w:pPr>
        <w:ind w:left="4632" w:hanging="360"/>
      </w:pPr>
      <w:rPr>
        <w:rFonts w:hint="default"/>
      </w:rPr>
    </w:lvl>
    <w:lvl w:ilvl="5" w:tplc="55BEB8DA">
      <w:start w:val="1"/>
      <w:numFmt w:val="bullet"/>
      <w:lvlText w:val="•"/>
      <w:lvlJc w:val="left"/>
      <w:pPr>
        <w:ind w:left="5550" w:hanging="360"/>
      </w:pPr>
      <w:rPr>
        <w:rFonts w:hint="default"/>
      </w:rPr>
    </w:lvl>
    <w:lvl w:ilvl="6" w:tplc="FE30FFF6">
      <w:start w:val="1"/>
      <w:numFmt w:val="bullet"/>
      <w:lvlText w:val="•"/>
      <w:lvlJc w:val="left"/>
      <w:pPr>
        <w:ind w:left="6468" w:hanging="360"/>
      </w:pPr>
      <w:rPr>
        <w:rFonts w:hint="default"/>
      </w:rPr>
    </w:lvl>
    <w:lvl w:ilvl="7" w:tplc="37809FA0">
      <w:start w:val="1"/>
      <w:numFmt w:val="bullet"/>
      <w:lvlText w:val="•"/>
      <w:lvlJc w:val="left"/>
      <w:pPr>
        <w:ind w:left="7386" w:hanging="360"/>
      </w:pPr>
      <w:rPr>
        <w:rFonts w:hint="default"/>
      </w:rPr>
    </w:lvl>
    <w:lvl w:ilvl="8" w:tplc="4A3C6C1E">
      <w:start w:val="1"/>
      <w:numFmt w:val="bullet"/>
      <w:lvlText w:val="•"/>
      <w:lvlJc w:val="left"/>
      <w:pPr>
        <w:ind w:left="8304" w:hanging="360"/>
      </w:pPr>
      <w:rPr>
        <w:rFonts w:hint="default"/>
      </w:rPr>
    </w:lvl>
  </w:abstractNum>
  <w:abstractNum w:abstractNumId="2">
    <w:nsid w:val="1744507C"/>
    <w:multiLevelType w:val="hybridMultilevel"/>
    <w:tmpl w:val="BC269A06"/>
    <w:lvl w:ilvl="0" w:tplc="40090017">
      <w:start w:val="1"/>
      <w:numFmt w:val="lowerLetter"/>
      <w:lvlText w:val="%1)"/>
      <w:lvlJc w:val="lef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3">
    <w:nsid w:val="1F2215B7"/>
    <w:multiLevelType w:val="hybridMultilevel"/>
    <w:tmpl w:val="9CD40D26"/>
    <w:lvl w:ilvl="0" w:tplc="40090017">
      <w:start w:val="1"/>
      <w:numFmt w:val="lowerLetter"/>
      <w:lvlText w:val="%1)"/>
      <w:lvlJc w:val="lef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4">
    <w:nsid w:val="2D362C60"/>
    <w:multiLevelType w:val="hybridMultilevel"/>
    <w:tmpl w:val="14BE3F02"/>
    <w:lvl w:ilvl="0" w:tplc="4009000F">
      <w:start w:val="1"/>
      <w:numFmt w:val="decimal"/>
      <w:lvlText w:val="%1."/>
      <w:lvlJc w:val="lef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5">
    <w:nsid w:val="2E3017DB"/>
    <w:multiLevelType w:val="hybridMultilevel"/>
    <w:tmpl w:val="E7147BCE"/>
    <w:lvl w:ilvl="0" w:tplc="2E62CF0C">
      <w:start w:val="1"/>
      <w:numFmt w:val="lowerLetter"/>
      <w:lvlText w:val="%1."/>
      <w:lvlJc w:val="left"/>
      <w:pPr>
        <w:ind w:left="1591" w:hanging="360"/>
      </w:pPr>
      <w:rPr>
        <w:rFonts w:ascii="Calibri" w:eastAsia="Calibri" w:hAnsi="Calibri" w:cs="Calibri" w:hint="default"/>
        <w:spacing w:val="-3"/>
        <w:w w:val="100"/>
        <w:sz w:val="24"/>
        <w:szCs w:val="24"/>
      </w:rPr>
    </w:lvl>
    <w:lvl w:ilvl="1" w:tplc="BD5E3D50">
      <w:start w:val="1"/>
      <w:numFmt w:val="bullet"/>
      <w:lvlText w:val="•"/>
      <w:lvlJc w:val="left"/>
      <w:pPr>
        <w:ind w:left="2438" w:hanging="360"/>
      </w:pPr>
      <w:rPr>
        <w:rFonts w:hint="default"/>
      </w:rPr>
    </w:lvl>
    <w:lvl w:ilvl="2" w:tplc="7544286C">
      <w:start w:val="1"/>
      <w:numFmt w:val="bullet"/>
      <w:lvlText w:val="•"/>
      <w:lvlJc w:val="left"/>
      <w:pPr>
        <w:ind w:left="3276" w:hanging="360"/>
      </w:pPr>
      <w:rPr>
        <w:rFonts w:hint="default"/>
      </w:rPr>
    </w:lvl>
    <w:lvl w:ilvl="3" w:tplc="3CD6266C">
      <w:start w:val="1"/>
      <w:numFmt w:val="bullet"/>
      <w:lvlText w:val="•"/>
      <w:lvlJc w:val="left"/>
      <w:pPr>
        <w:ind w:left="4114" w:hanging="360"/>
      </w:pPr>
      <w:rPr>
        <w:rFonts w:hint="default"/>
      </w:rPr>
    </w:lvl>
    <w:lvl w:ilvl="4" w:tplc="6A4EA872">
      <w:start w:val="1"/>
      <w:numFmt w:val="bullet"/>
      <w:lvlText w:val="•"/>
      <w:lvlJc w:val="left"/>
      <w:pPr>
        <w:ind w:left="4952" w:hanging="360"/>
      </w:pPr>
      <w:rPr>
        <w:rFonts w:hint="default"/>
      </w:rPr>
    </w:lvl>
    <w:lvl w:ilvl="5" w:tplc="A596063E">
      <w:start w:val="1"/>
      <w:numFmt w:val="bullet"/>
      <w:lvlText w:val="•"/>
      <w:lvlJc w:val="left"/>
      <w:pPr>
        <w:ind w:left="5790" w:hanging="360"/>
      </w:pPr>
      <w:rPr>
        <w:rFonts w:hint="default"/>
      </w:rPr>
    </w:lvl>
    <w:lvl w:ilvl="6" w:tplc="D65AC4E8">
      <w:start w:val="1"/>
      <w:numFmt w:val="bullet"/>
      <w:lvlText w:val="•"/>
      <w:lvlJc w:val="left"/>
      <w:pPr>
        <w:ind w:left="6628" w:hanging="360"/>
      </w:pPr>
      <w:rPr>
        <w:rFonts w:hint="default"/>
      </w:rPr>
    </w:lvl>
    <w:lvl w:ilvl="7" w:tplc="A41A0508">
      <w:start w:val="1"/>
      <w:numFmt w:val="bullet"/>
      <w:lvlText w:val="•"/>
      <w:lvlJc w:val="left"/>
      <w:pPr>
        <w:ind w:left="7466" w:hanging="360"/>
      </w:pPr>
      <w:rPr>
        <w:rFonts w:hint="default"/>
      </w:rPr>
    </w:lvl>
    <w:lvl w:ilvl="8" w:tplc="44EED9B4">
      <w:start w:val="1"/>
      <w:numFmt w:val="bullet"/>
      <w:lvlText w:val="•"/>
      <w:lvlJc w:val="left"/>
      <w:pPr>
        <w:ind w:left="8304" w:hanging="360"/>
      </w:pPr>
      <w:rPr>
        <w:rFonts w:hint="default"/>
      </w:rPr>
    </w:lvl>
  </w:abstractNum>
  <w:abstractNum w:abstractNumId="6">
    <w:nsid w:val="33CA197D"/>
    <w:multiLevelType w:val="hybridMultilevel"/>
    <w:tmpl w:val="F4E47050"/>
    <w:lvl w:ilvl="0" w:tplc="1D801D34">
      <w:start w:val="1"/>
      <w:numFmt w:val="bullet"/>
      <w:lvlText w:val=""/>
      <w:lvlJc w:val="left"/>
      <w:pPr>
        <w:ind w:left="960" w:hanging="269"/>
      </w:pPr>
      <w:rPr>
        <w:rFonts w:ascii="Wingdings" w:eastAsia="Wingdings" w:hAnsi="Wingdings" w:cs="Wingdings" w:hint="default"/>
        <w:w w:val="100"/>
        <w:sz w:val="24"/>
        <w:szCs w:val="24"/>
      </w:rPr>
    </w:lvl>
    <w:lvl w:ilvl="1" w:tplc="B308AF4E">
      <w:start w:val="1"/>
      <w:numFmt w:val="bullet"/>
      <w:lvlText w:val="•"/>
      <w:lvlJc w:val="left"/>
      <w:pPr>
        <w:ind w:left="1878" w:hanging="269"/>
      </w:pPr>
      <w:rPr>
        <w:rFonts w:hint="default"/>
      </w:rPr>
    </w:lvl>
    <w:lvl w:ilvl="2" w:tplc="DC0C7522">
      <w:start w:val="1"/>
      <w:numFmt w:val="bullet"/>
      <w:lvlText w:val="•"/>
      <w:lvlJc w:val="left"/>
      <w:pPr>
        <w:ind w:left="2796" w:hanging="269"/>
      </w:pPr>
      <w:rPr>
        <w:rFonts w:hint="default"/>
      </w:rPr>
    </w:lvl>
    <w:lvl w:ilvl="3" w:tplc="FB36CD04">
      <w:start w:val="1"/>
      <w:numFmt w:val="bullet"/>
      <w:lvlText w:val="•"/>
      <w:lvlJc w:val="left"/>
      <w:pPr>
        <w:ind w:left="3714" w:hanging="269"/>
      </w:pPr>
      <w:rPr>
        <w:rFonts w:hint="default"/>
      </w:rPr>
    </w:lvl>
    <w:lvl w:ilvl="4" w:tplc="BC242908">
      <w:start w:val="1"/>
      <w:numFmt w:val="bullet"/>
      <w:lvlText w:val="•"/>
      <w:lvlJc w:val="left"/>
      <w:pPr>
        <w:ind w:left="4632" w:hanging="269"/>
      </w:pPr>
      <w:rPr>
        <w:rFonts w:hint="default"/>
      </w:rPr>
    </w:lvl>
    <w:lvl w:ilvl="5" w:tplc="76B812EC">
      <w:start w:val="1"/>
      <w:numFmt w:val="bullet"/>
      <w:lvlText w:val="•"/>
      <w:lvlJc w:val="left"/>
      <w:pPr>
        <w:ind w:left="5550" w:hanging="269"/>
      </w:pPr>
      <w:rPr>
        <w:rFonts w:hint="default"/>
      </w:rPr>
    </w:lvl>
    <w:lvl w:ilvl="6" w:tplc="32B8427A">
      <w:start w:val="1"/>
      <w:numFmt w:val="bullet"/>
      <w:lvlText w:val="•"/>
      <w:lvlJc w:val="left"/>
      <w:pPr>
        <w:ind w:left="6468" w:hanging="269"/>
      </w:pPr>
      <w:rPr>
        <w:rFonts w:hint="default"/>
      </w:rPr>
    </w:lvl>
    <w:lvl w:ilvl="7" w:tplc="D768578E">
      <w:start w:val="1"/>
      <w:numFmt w:val="bullet"/>
      <w:lvlText w:val="•"/>
      <w:lvlJc w:val="left"/>
      <w:pPr>
        <w:ind w:left="7386" w:hanging="269"/>
      </w:pPr>
      <w:rPr>
        <w:rFonts w:hint="default"/>
      </w:rPr>
    </w:lvl>
    <w:lvl w:ilvl="8" w:tplc="72FEE262">
      <w:start w:val="1"/>
      <w:numFmt w:val="bullet"/>
      <w:lvlText w:val="•"/>
      <w:lvlJc w:val="left"/>
      <w:pPr>
        <w:ind w:left="8304" w:hanging="269"/>
      </w:pPr>
      <w:rPr>
        <w:rFonts w:hint="default"/>
      </w:rPr>
    </w:lvl>
  </w:abstractNum>
  <w:abstractNum w:abstractNumId="7">
    <w:nsid w:val="403B5817"/>
    <w:multiLevelType w:val="hybridMultilevel"/>
    <w:tmpl w:val="7FF67166"/>
    <w:lvl w:ilvl="0" w:tplc="ABA8E378">
      <w:start w:val="1"/>
      <w:numFmt w:val="lowerRoman"/>
      <w:lvlText w:val="%1."/>
      <w:lvlJc w:val="left"/>
      <w:pPr>
        <w:ind w:left="960" w:hanging="483"/>
        <w:jc w:val="right"/>
      </w:pPr>
      <w:rPr>
        <w:rFonts w:ascii="Calibri" w:eastAsia="Calibri" w:hAnsi="Calibri" w:cs="Calibri" w:hint="default"/>
        <w:b/>
        <w:bCs/>
        <w:spacing w:val="-3"/>
        <w:w w:val="100"/>
        <w:sz w:val="24"/>
        <w:szCs w:val="24"/>
      </w:rPr>
    </w:lvl>
    <w:lvl w:ilvl="1" w:tplc="1BA6005A">
      <w:start w:val="1"/>
      <w:numFmt w:val="decimal"/>
      <w:lvlText w:val="%2."/>
      <w:lvlJc w:val="left"/>
      <w:pPr>
        <w:ind w:left="960" w:hanging="360"/>
      </w:pPr>
      <w:rPr>
        <w:rFonts w:ascii="Calibri" w:eastAsia="Calibri" w:hAnsi="Calibri" w:cs="Calibri" w:hint="default"/>
        <w:spacing w:val="-4"/>
        <w:w w:val="100"/>
        <w:sz w:val="24"/>
        <w:szCs w:val="24"/>
      </w:rPr>
    </w:lvl>
    <w:lvl w:ilvl="2" w:tplc="40090013">
      <w:start w:val="1"/>
      <w:numFmt w:val="upperRoman"/>
      <w:lvlText w:val="%3."/>
      <w:lvlJc w:val="right"/>
      <w:pPr>
        <w:ind w:left="1500" w:hanging="476"/>
        <w:jc w:val="right"/>
      </w:pPr>
      <w:rPr>
        <w:rFonts w:hint="default"/>
        <w:spacing w:val="-21"/>
        <w:w w:val="100"/>
        <w:sz w:val="24"/>
        <w:szCs w:val="24"/>
      </w:rPr>
    </w:lvl>
    <w:lvl w:ilvl="3" w:tplc="B6C072B2">
      <w:start w:val="1"/>
      <w:numFmt w:val="bullet"/>
      <w:lvlText w:val="•"/>
      <w:lvlJc w:val="left"/>
      <w:pPr>
        <w:ind w:left="3120" w:hanging="476"/>
      </w:pPr>
      <w:rPr>
        <w:rFonts w:hint="default"/>
      </w:rPr>
    </w:lvl>
    <w:lvl w:ilvl="4" w:tplc="8BA6E64C">
      <w:start w:val="1"/>
      <w:numFmt w:val="bullet"/>
      <w:lvlText w:val="•"/>
      <w:lvlJc w:val="left"/>
      <w:pPr>
        <w:ind w:left="4100" w:hanging="476"/>
      </w:pPr>
      <w:rPr>
        <w:rFonts w:hint="default"/>
      </w:rPr>
    </w:lvl>
    <w:lvl w:ilvl="5" w:tplc="8820BF24">
      <w:start w:val="1"/>
      <w:numFmt w:val="bullet"/>
      <w:lvlText w:val="•"/>
      <w:lvlJc w:val="left"/>
      <w:pPr>
        <w:ind w:left="5080" w:hanging="476"/>
      </w:pPr>
      <w:rPr>
        <w:rFonts w:hint="default"/>
      </w:rPr>
    </w:lvl>
    <w:lvl w:ilvl="6" w:tplc="45CAD4FC">
      <w:start w:val="1"/>
      <w:numFmt w:val="bullet"/>
      <w:lvlText w:val="•"/>
      <w:lvlJc w:val="left"/>
      <w:pPr>
        <w:ind w:left="6060" w:hanging="476"/>
      </w:pPr>
      <w:rPr>
        <w:rFonts w:hint="default"/>
      </w:rPr>
    </w:lvl>
    <w:lvl w:ilvl="7" w:tplc="67CECBBE">
      <w:start w:val="1"/>
      <w:numFmt w:val="bullet"/>
      <w:lvlText w:val="•"/>
      <w:lvlJc w:val="left"/>
      <w:pPr>
        <w:ind w:left="7040" w:hanging="476"/>
      </w:pPr>
      <w:rPr>
        <w:rFonts w:hint="default"/>
      </w:rPr>
    </w:lvl>
    <w:lvl w:ilvl="8" w:tplc="F12A6166">
      <w:start w:val="1"/>
      <w:numFmt w:val="bullet"/>
      <w:lvlText w:val="•"/>
      <w:lvlJc w:val="left"/>
      <w:pPr>
        <w:ind w:left="8020" w:hanging="476"/>
      </w:pPr>
      <w:rPr>
        <w:rFonts w:hint="default"/>
      </w:rPr>
    </w:lvl>
  </w:abstractNum>
  <w:abstractNum w:abstractNumId="8">
    <w:nsid w:val="4F1070F1"/>
    <w:multiLevelType w:val="hybridMultilevel"/>
    <w:tmpl w:val="5C801536"/>
    <w:lvl w:ilvl="0" w:tplc="B308AF4E">
      <w:start w:val="1"/>
      <w:numFmt w:val="bullet"/>
      <w:lvlText w:val="•"/>
      <w:lvlJc w:val="left"/>
      <w:pPr>
        <w:ind w:left="960" w:hanging="360"/>
      </w:pPr>
      <w:rPr>
        <w:rFonts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9">
    <w:nsid w:val="4F4D7FF4"/>
    <w:multiLevelType w:val="hybridMultilevel"/>
    <w:tmpl w:val="F24E232A"/>
    <w:lvl w:ilvl="0" w:tplc="B308AF4E">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6471CC"/>
    <w:multiLevelType w:val="hybridMultilevel"/>
    <w:tmpl w:val="C978B0FA"/>
    <w:lvl w:ilvl="0" w:tplc="4009000F">
      <w:start w:val="1"/>
      <w:numFmt w:val="decimal"/>
      <w:lvlText w:val="%1."/>
      <w:lvlJc w:val="lef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1">
    <w:nsid w:val="6CAA10CE"/>
    <w:multiLevelType w:val="hybridMultilevel"/>
    <w:tmpl w:val="B1EE76B4"/>
    <w:lvl w:ilvl="0" w:tplc="40090013">
      <w:start w:val="1"/>
      <w:numFmt w:val="upperRoman"/>
      <w:lvlText w:val="%1."/>
      <w:lvlJc w:val="right"/>
      <w:pPr>
        <w:ind w:left="960" w:hanging="360"/>
      </w:pPr>
      <w:rPr>
        <w:rFonts w:hint="default"/>
        <w:spacing w:val="-21"/>
        <w:w w:val="100"/>
        <w:sz w:val="24"/>
        <w:szCs w:val="24"/>
      </w:r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2">
    <w:nsid w:val="751C0068"/>
    <w:multiLevelType w:val="hybridMultilevel"/>
    <w:tmpl w:val="6E4CF6A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F7213A7"/>
    <w:multiLevelType w:val="hybridMultilevel"/>
    <w:tmpl w:val="64BE379A"/>
    <w:lvl w:ilvl="0" w:tplc="4009000F">
      <w:start w:val="1"/>
      <w:numFmt w:val="decimal"/>
      <w:lvlText w:val="%1."/>
      <w:lvlJc w:val="lef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num w:numId="1">
    <w:abstractNumId w:val="6"/>
  </w:num>
  <w:num w:numId="2">
    <w:abstractNumId w:val="5"/>
  </w:num>
  <w:num w:numId="3">
    <w:abstractNumId w:val="7"/>
  </w:num>
  <w:num w:numId="4">
    <w:abstractNumId w:val="0"/>
  </w:num>
  <w:num w:numId="5">
    <w:abstractNumId w:val="1"/>
  </w:num>
  <w:num w:numId="6">
    <w:abstractNumId w:val="11"/>
  </w:num>
  <w:num w:numId="7">
    <w:abstractNumId w:val="13"/>
  </w:num>
  <w:num w:numId="8">
    <w:abstractNumId w:val="3"/>
  </w:num>
  <w:num w:numId="9">
    <w:abstractNumId w:val="8"/>
  </w:num>
  <w:num w:numId="10">
    <w:abstractNumId w:val="2"/>
  </w:num>
  <w:num w:numId="11">
    <w:abstractNumId w:val="4"/>
  </w:num>
  <w:num w:numId="12">
    <w:abstractNumId w:val="1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45767"/>
    <w:rsid w:val="000054B6"/>
    <w:rsid w:val="00005711"/>
    <w:rsid w:val="00030EE8"/>
    <w:rsid w:val="00037C86"/>
    <w:rsid w:val="000448C0"/>
    <w:rsid w:val="000642AA"/>
    <w:rsid w:val="000B437C"/>
    <w:rsid w:val="000C2E17"/>
    <w:rsid w:val="000D1C46"/>
    <w:rsid w:val="000D750E"/>
    <w:rsid w:val="000E1894"/>
    <w:rsid w:val="000F625D"/>
    <w:rsid w:val="00103DD3"/>
    <w:rsid w:val="00106220"/>
    <w:rsid w:val="00113591"/>
    <w:rsid w:val="00115B62"/>
    <w:rsid w:val="00122173"/>
    <w:rsid w:val="00124711"/>
    <w:rsid w:val="00135CE9"/>
    <w:rsid w:val="00137886"/>
    <w:rsid w:val="001632B8"/>
    <w:rsid w:val="00193A35"/>
    <w:rsid w:val="001953CB"/>
    <w:rsid w:val="001A3123"/>
    <w:rsid w:val="001B323E"/>
    <w:rsid w:val="001B36A2"/>
    <w:rsid w:val="001B51D6"/>
    <w:rsid w:val="0021364B"/>
    <w:rsid w:val="00232AFE"/>
    <w:rsid w:val="00236A78"/>
    <w:rsid w:val="00243BE6"/>
    <w:rsid w:val="002600E3"/>
    <w:rsid w:val="00263496"/>
    <w:rsid w:val="00286BA5"/>
    <w:rsid w:val="0029170E"/>
    <w:rsid w:val="00291E1D"/>
    <w:rsid w:val="00293B10"/>
    <w:rsid w:val="002B03CD"/>
    <w:rsid w:val="002C2678"/>
    <w:rsid w:val="002D1FFC"/>
    <w:rsid w:val="002D318E"/>
    <w:rsid w:val="002E3B47"/>
    <w:rsid w:val="002E62C1"/>
    <w:rsid w:val="002F74A7"/>
    <w:rsid w:val="00311E56"/>
    <w:rsid w:val="0032524F"/>
    <w:rsid w:val="00350368"/>
    <w:rsid w:val="00360227"/>
    <w:rsid w:val="003656B6"/>
    <w:rsid w:val="003824AB"/>
    <w:rsid w:val="00385969"/>
    <w:rsid w:val="00390C78"/>
    <w:rsid w:val="003A371E"/>
    <w:rsid w:val="003B110D"/>
    <w:rsid w:val="003B4E2E"/>
    <w:rsid w:val="003D196F"/>
    <w:rsid w:val="003E28CF"/>
    <w:rsid w:val="0040417E"/>
    <w:rsid w:val="004139AC"/>
    <w:rsid w:val="00456C2F"/>
    <w:rsid w:val="004653B2"/>
    <w:rsid w:val="00465D85"/>
    <w:rsid w:val="00466F0F"/>
    <w:rsid w:val="00474659"/>
    <w:rsid w:val="00497944"/>
    <w:rsid w:val="004A3728"/>
    <w:rsid w:val="004B0910"/>
    <w:rsid w:val="004C4234"/>
    <w:rsid w:val="00502F55"/>
    <w:rsid w:val="005110CF"/>
    <w:rsid w:val="00515457"/>
    <w:rsid w:val="00517061"/>
    <w:rsid w:val="00525A81"/>
    <w:rsid w:val="005354B5"/>
    <w:rsid w:val="00537871"/>
    <w:rsid w:val="005559D9"/>
    <w:rsid w:val="005A6988"/>
    <w:rsid w:val="005F0CC8"/>
    <w:rsid w:val="005F6DB6"/>
    <w:rsid w:val="00611556"/>
    <w:rsid w:val="0065254A"/>
    <w:rsid w:val="006B1AB8"/>
    <w:rsid w:val="006D1382"/>
    <w:rsid w:val="006D1F21"/>
    <w:rsid w:val="006E5D6E"/>
    <w:rsid w:val="006E6401"/>
    <w:rsid w:val="00702E4F"/>
    <w:rsid w:val="00724AAA"/>
    <w:rsid w:val="0074714E"/>
    <w:rsid w:val="00764F28"/>
    <w:rsid w:val="00782094"/>
    <w:rsid w:val="00787BFD"/>
    <w:rsid w:val="007B4423"/>
    <w:rsid w:val="008176DE"/>
    <w:rsid w:val="00845D56"/>
    <w:rsid w:val="008853E6"/>
    <w:rsid w:val="008932CF"/>
    <w:rsid w:val="008D6E81"/>
    <w:rsid w:val="008F510C"/>
    <w:rsid w:val="009229BA"/>
    <w:rsid w:val="00923E15"/>
    <w:rsid w:val="00926983"/>
    <w:rsid w:val="00933611"/>
    <w:rsid w:val="00945767"/>
    <w:rsid w:val="00962843"/>
    <w:rsid w:val="00984EB7"/>
    <w:rsid w:val="00993413"/>
    <w:rsid w:val="009A2C75"/>
    <w:rsid w:val="009C08FD"/>
    <w:rsid w:val="009E4772"/>
    <w:rsid w:val="009F1293"/>
    <w:rsid w:val="009F218B"/>
    <w:rsid w:val="00A04C6E"/>
    <w:rsid w:val="00A16A76"/>
    <w:rsid w:val="00A20152"/>
    <w:rsid w:val="00A20F63"/>
    <w:rsid w:val="00A236EF"/>
    <w:rsid w:val="00A3648F"/>
    <w:rsid w:val="00A552FF"/>
    <w:rsid w:val="00A56BF3"/>
    <w:rsid w:val="00A62FC8"/>
    <w:rsid w:val="00A7577E"/>
    <w:rsid w:val="00A83C7B"/>
    <w:rsid w:val="00AA18CE"/>
    <w:rsid w:val="00AD756C"/>
    <w:rsid w:val="00AE2B2E"/>
    <w:rsid w:val="00AF4B8E"/>
    <w:rsid w:val="00B05FE7"/>
    <w:rsid w:val="00B15544"/>
    <w:rsid w:val="00B36CB5"/>
    <w:rsid w:val="00B40552"/>
    <w:rsid w:val="00B8524F"/>
    <w:rsid w:val="00BA6C9D"/>
    <w:rsid w:val="00BB4868"/>
    <w:rsid w:val="00BC6E15"/>
    <w:rsid w:val="00BD194A"/>
    <w:rsid w:val="00BD25F8"/>
    <w:rsid w:val="00C02B35"/>
    <w:rsid w:val="00C25399"/>
    <w:rsid w:val="00C53D73"/>
    <w:rsid w:val="00C708FE"/>
    <w:rsid w:val="00CB2599"/>
    <w:rsid w:val="00CD55F1"/>
    <w:rsid w:val="00CF3FDB"/>
    <w:rsid w:val="00D10E50"/>
    <w:rsid w:val="00D15AAD"/>
    <w:rsid w:val="00D626EF"/>
    <w:rsid w:val="00D65879"/>
    <w:rsid w:val="00D9535F"/>
    <w:rsid w:val="00DB7D5D"/>
    <w:rsid w:val="00DD71CB"/>
    <w:rsid w:val="00DE22D4"/>
    <w:rsid w:val="00DE5E1C"/>
    <w:rsid w:val="00DF03FC"/>
    <w:rsid w:val="00DF1672"/>
    <w:rsid w:val="00E0055D"/>
    <w:rsid w:val="00E0608B"/>
    <w:rsid w:val="00E631A2"/>
    <w:rsid w:val="00E70A51"/>
    <w:rsid w:val="00E750D5"/>
    <w:rsid w:val="00E91273"/>
    <w:rsid w:val="00E918DF"/>
    <w:rsid w:val="00EC327E"/>
    <w:rsid w:val="00ED436A"/>
    <w:rsid w:val="00EF08B5"/>
    <w:rsid w:val="00EF3552"/>
    <w:rsid w:val="00EF4561"/>
    <w:rsid w:val="00F36C6C"/>
    <w:rsid w:val="00F4374F"/>
    <w:rsid w:val="00FD79A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39C5EA7"/>
  <w15:docId w15:val="{0E790DB6-3DAC-44F8-B2E5-7DF1728D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45767"/>
    <w:rPr>
      <w:rFonts w:ascii="Calibri" w:eastAsia="Calibri" w:hAnsi="Calibri" w:cs="Calibri"/>
    </w:rPr>
  </w:style>
  <w:style w:type="paragraph" w:styleId="Heading1">
    <w:name w:val="heading 1"/>
    <w:basedOn w:val="Normal"/>
    <w:uiPriority w:val="1"/>
    <w:qFormat/>
    <w:rsid w:val="00945767"/>
    <w:pPr>
      <w:ind w:left="960" w:hanging="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45767"/>
    <w:rPr>
      <w:sz w:val="24"/>
      <w:szCs w:val="24"/>
    </w:rPr>
  </w:style>
  <w:style w:type="paragraph" w:styleId="ListParagraph">
    <w:name w:val="List Paragraph"/>
    <w:basedOn w:val="Normal"/>
    <w:uiPriority w:val="1"/>
    <w:qFormat/>
    <w:rsid w:val="00945767"/>
    <w:pPr>
      <w:ind w:left="960" w:hanging="360"/>
      <w:jc w:val="both"/>
    </w:pPr>
  </w:style>
  <w:style w:type="paragraph" w:customStyle="1" w:styleId="TableParagraph">
    <w:name w:val="Table Paragraph"/>
    <w:basedOn w:val="Normal"/>
    <w:uiPriority w:val="1"/>
    <w:qFormat/>
    <w:rsid w:val="00945767"/>
  </w:style>
  <w:style w:type="paragraph" w:styleId="Header">
    <w:name w:val="header"/>
    <w:basedOn w:val="Normal"/>
    <w:link w:val="HeaderChar"/>
    <w:uiPriority w:val="99"/>
    <w:unhideWhenUsed/>
    <w:rsid w:val="00236A78"/>
    <w:pPr>
      <w:tabs>
        <w:tab w:val="center" w:pos="4680"/>
        <w:tab w:val="right" w:pos="9360"/>
      </w:tabs>
    </w:pPr>
  </w:style>
  <w:style w:type="character" w:customStyle="1" w:styleId="HeaderChar">
    <w:name w:val="Header Char"/>
    <w:basedOn w:val="DefaultParagraphFont"/>
    <w:link w:val="Header"/>
    <w:uiPriority w:val="99"/>
    <w:rsid w:val="00236A78"/>
    <w:rPr>
      <w:rFonts w:ascii="Calibri" w:eastAsia="Calibri" w:hAnsi="Calibri" w:cs="Calibri"/>
    </w:rPr>
  </w:style>
  <w:style w:type="paragraph" w:styleId="Footer">
    <w:name w:val="footer"/>
    <w:basedOn w:val="Normal"/>
    <w:link w:val="FooterChar"/>
    <w:uiPriority w:val="99"/>
    <w:unhideWhenUsed/>
    <w:rsid w:val="00236A78"/>
    <w:pPr>
      <w:tabs>
        <w:tab w:val="center" w:pos="4680"/>
        <w:tab w:val="right" w:pos="9360"/>
      </w:tabs>
    </w:pPr>
  </w:style>
  <w:style w:type="character" w:customStyle="1" w:styleId="FooterChar">
    <w:name w:val="Footer Char"/>
    <w:basedOn w:val="DefaultParagraphFont"/>
    <w:link w:val="Footer"/>
    <w:uiPriority w:val="99"/>
    <w:rsid w:val="00236A78"/>
    <w:rPr>
      <w:rFonts w:ascii="Calibri" w:eastAsia="Calibri" w:hAnsi="Calibri" w:cs="Calibri"/>
    </w:rPr>
  </w:style>
  <w:style w:type="character" w:styleId="Hyperlink">
    <w:name w:val="Hyperlink"/>
    <w:basedOn w:val="DefaultParagraphFont"/>
    <w:uiPriority w:val="99"/>
    <w:unhideWhenUsed/>
    <w:rsid w:val="00236A78"/>
    <w:rPr>
      <w:color w:val="0000FF" w:themeColor="hyperlink"/>
      <w:u w:val="single"/>
    </w:rPr>
  </w:style>
  <w:style w:type="character" w:customStyle="1" w:styleId="BodyTextChar">
    <w:name w:val="Body Text Char"/>
    <w:basedOn w:val="DefaultParagraphFont"/>
    <w:link w:val="BodyText"/>
    <w:uiPriority w:val="1"/>
    <w:rsid w:val="00293B10"/>
    <w:rPr>
      <w:rFonts w:ascii="Calibri" w:eastAsia="Calibri" w:hAnsi="Calibri" w:cs="Calibri"/>
      <w:sz w:val="24"/>
      <w:szCs w:val="24"/>
    </w:rPr>
  </w:style>
  <w:style w:type="table" w:styleId="TableGrid">
    <w:name w:val="Table Grid"/>
    <w:basedOn w:val="TableNormal"/>
    <w:uiPriority w:val="59"/>
    <w:rsid w:val="004653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4714E"/>
    <w:rPr>
      <w:color w:val="605E5C"/>
      <w:shd w:val="clear" w:color="auto" w:fill="E1DFDD"/>
    </w:rPr>
  </w:style>
  <w:style w:type="paragraph" w:styleId="BalloonText">
    <w:name w:val="Balloon Text"/>
    <w:basedOn w:val="Normal"/>
    <w:link w:val="BalloonTextChar"/>
    <w:uiPriority w:val="99"/>
    <w:semiHidden/>
    <w:unhideWhenUsed/>
    <w:rsid w:val="00232A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AF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442697">
      <w:bodyDiv w:val="1"/>
      <w:marLeft w:val="0"/>
      <w:marRight w:val="0"/>
      <w:marTop w:val="0"/>
      <w:marBottom w:val="0"/>
      <w:divBdr>
        <w:top w:val="none" w:sz="0" w:space="0" w:color="auto"/>
        <w:left w:val="none" w:sz="0" w:space="0" w:color="auto"/>
        <w:bottom w:val="none" w:sz="0" w:space="0" w:color="auto"/>
        <w:right w:val="none" w:sz="0" w:space="0" w:color="auto"/>
      </w:divBdr>
    </w:div>
    <w:div w:id="817459054">
      <w:bodyDiv w:val="1"/>
      <w:marLeft w:val="0"/>
      <w:marRight w:val="0"/>
      <w:marTop w:val="0"/>
      <w:marBottom w:val="0"/>
      <w:divBdr>
        <w:top w:val="none" w:sz="0" w:space="0" w:color="auto"/>
        <w:left w:val="none" w:sz="0" w:space="0" w:color="auto"/>
        <w:bottom w:val="none" w:sz="0" w:space="0" w:color="auto"/>
        <w:right w:val="none" w:sz="0" w:space="0" w:color="auto"/>
      </w:divBdr>
    </w:div>
    <w:div w:id="988249311">
      <w:bodyDiv w:val="1"/>
      <w:marLeft w:val="0"/>
      <w:marRight w:val="0"/>
      <w:marTop w:val="0"/>
      <w:marBottom w:val="0"/>
      <w:divBdr>
        <w:top w:val="none" w:sz="0" w:space="0" w:color="auto"/>
        <w:left w:val="none" w:sz="0" w:space="0" w:color="auto"/>
        <w:bottom w:val="none" w:sz="0" w:space="0" w:color="auto"/>
        <w:right w:val="none" w:sz="0" w:space="0" w:color="auto"/>
      </w:divBdr>
    </w:div>
    <w:div w:id="1071999617">
      <w:bodyDiv w:val="1"/>
      <w:marLeft w:val="0"/>
      <w:marRight w:val="0"/>
      <w:marTop w:val="0"/>
      <w:marBottom w:val="0"/>
      <w:divBdr>
        <w:top w:val="none" w:sz="0" w:space="0" w:color="auto"/>
        <w:left w:val="none" w:sz="0" w:space="0" w:color="auto"/>
        <w:bottom w:val="none" w:sz="0" w:space="0" w:color="auto"/>
        <w:right w:val="none" w:sz="0" w:space="0" w:color="auto"/>
      </w:divBdr>
    </w:div>
    <w:div w:id="1449281390">
      <w:bodyDiv w:val="1"/>
      <w:marLeft w:val="0"/>
      <w:marRight w:val="0"/>
      <w:marTop w:val="0"/>
      <w:marBottom w:val="0"/>
      <w:divBdr>
        <w:top w:val="none" w:sz="0" w:space="0" w:color="auto"/>
        <w:left w:val="none" w:sz="0" w:space="0" w:color="auto"/>
        <w:bottom w:val="none" w:sz="0" w:space="0" w:color="auto"/>
        <w:right w:val="none" w:sz="0" w:space="0" w:color="auto"/>
      </w:divBdr>
    </w:div>
    <w:div w:id="1716811219">
      <w:bodyDiv w:val="1"/>
      <w:marLeft w:val="0"/>
      <w:marRight w:val="0"/>
      <w:marTop w:val="0"/>
      <w:marBottom w:val="0"/>
      <w:divBdr>
        <w:top w:val="none" w:sz="0" w:space="0" w:color="auto"/>
        <w:left w:val="none" w:sz="0" w:space="0" w:color="auto"/>
        <w:bottom w:val="none" w:sz="0" w:space="0" w:color="auto"/>
        <w:right w:val="none" w:sz="0" w:space="0" w:color="auto"/>
      </w:divBdr>
    </w:div>
    <w:div w:id="1940674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ingdarsh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rshanor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79D9D-3364-4FAE-9ED7-16663A75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7</Pages>
  <Words>2232</Words>
  <Characters>12728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HUGHES SOFTWARE SYSTEMS LTD</vt:lpstr>
    </vt:vector>
  </TitlesOfParts>
  <Company/>
  <LinksUpToDate>false</LinksUpToDate>
  <CharactersWithSpaces>14931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HUGHES SOFTWARE SYSTEMS LTD</dc:title>
  <dc:creator>hss</dc:creator>
  <cp:lastModifiedBy>ABC</cp:lastModifiedBy>
  <cp:revision>146</cp:revision>
  <cp:lastPrinted>2023-02-18T05:25:00Z</cp:lastPrinted>
  <dcterms:created xsi:type="dcterms:W3CDTF">2016-04-21T07:54:00Z</dcterms:created>
  <dcterms:modified xsi:type="dcterms:W3CDTF">2023-02-18T10:42:00Z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2015-12-30T00:00:00Z</vt:filetime>
  </property>
  <property fmtid="{D5CDD505-2E9C-101B-9397-08002B2CF9AE}" pid="3" name="Creator">
    <vt:lpwstr>Microsoft® Word 2010</vt:lpwstr>
  </property>
  <property fmtid="{D5CDD505-2E9C-101B-9397-08002B2CF9AE}" pid="4" name="LastSaved">
    <vt:filetime>2016-04-21T00:00:00Z</vt:filetime>
  </property>
</Properties>
</file>